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6B" w:rsidRPr="00DE32F5" w:rsidRDefault="00347A6B" w:rsidP="00347A6B">
      <w:pPr>
        <w:spacing w:line="1640" w:lineRule="exact"/>
        <w:rPr>
          <w:rFonts w:ascii="方正小标宋简体" w:eastAsia="方正小标宋简体" w:hint="eastAsia"/>
          <w:color w:val="FF0000"/>
          <w:w w:val="48"/>
          <w:sz w:val="120"/>
          <w:szCs w:val="120"/>
        </w:rPr>
      </w:pPr>
    </w:p>
    <w:p w:rsidR="00347A6B" w:rsidRPr="004C034A" w:rsidRDefault="00347A6B" w:rsidP="00347A6B">
      <w:pPr>
        <w:spacing w:line="1640" w:lineRule="exact"/>
        <w:jc w:val="center"/>
        <w:rPr>
          <w:rFonts w:ascii="方正小标宋简体" w:eastAsia="方正小标宋简体" w:hint="eastAsia"/>
          <w:color w:val="FF0000"/>
          <w:w w:val="39"/>
          <w:sz w:val="120"/>
          <w:szCs w:val="120"/>
        </w:rPr>
      </w:pPr>
      <w:r>
        <w:rPr>
          <w:rFonts w:ascii="方正小标宋简体" w:eastAsia="方正小标宋简体" w:hint="eastAsia"/>
          <w:noProof/>
          <w:color w:val="FF0000"/>
          <w:sz w:val="120"/>
          <w:szCs w:val="120"/>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2006600</wp:posOffset>
                </wp:positionV>
                <wp:extent cx="5615940" cy="0"/>
                <wp:effectExtent l="13335" t="17780" r="9525" b="1079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58pt" to="442.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" strokecolor="red" strokeweight="1.5pt"/>
            </w:pict>
          </mc:Fallback>
        </mc:AlternateContent>
      </w:r>
      <w:r w:rsidRPr="00DE32F5">
        <w:rPr>
          <w:rFonts w:ascii="方正小标宋简体" w:eastAsia="方正小标宋简体" w:hint="eastAsia"/>
          <w:color w:val="FF0000"/>
          <w:w w:val="39"/>
          <w:sz w:val="120"/>
          <w:szCs w:val="120"/>
        </w:rPr>
        <w:t>中共山东青年政治学院委</w:t>
      </w:r>
      <w:r w:rsidRPr="004C034A">
        <w:rPr>
          <w:rFonts w:ascii="方正小标宋简体" w:eastAsia="方正小标宋简体" w:hint="eastAsia"/>
          <w:color w:val="FF0000"/>
          <w:w w:val="39"/>
          <w:sz w:val="120"/>
          <w:szCs w:val="120"/>
        </w:rPr>
        <w:t>员会办公室文件</w:t>
      </w:r>
    </w:p>
    <w:p w:rsidR="00347A6B" w:rsidRDefault="00347A6B" w:rsidP="00347A6B">
      <w:pPr>
        <w:adjustRightInd w:val="0"/>
        <w:snapToGrid w:val="0"/>
        <w:spacing w:line="420" w:lineRule="exact"/>
        <w:jc w:val="center"/>
        <w:outlineLvl w:val="0"/>
        <w:rPr>
          <w:rFonts w:ascii="仿宋_GB2312" w:hint="eastAsia"/>
        </w:rPr>
      </w:pPr>
    </w:p>
    <w:p w:rsidR="00347A6B" w:rsidRDefault="00347A6B" w:rsidP="00347A6B">
      <w:pPr>
        <w:adjustRightInd w:val="0"/>
        <w:snapToGrid w:val="0"/>
        <w:spacing w:line="420" w:lineRule="exact"/>
        <w:jc w:val="center"/>
        <w:outlineLvl w:val="0"/>
        <w:rPr>
          <w:rFonts w:ascii="仿宋_GB2312" w:hint="eastAsia"/>
        </w:rPr>
      </w:pPr>
    </w:p>
    <w:p w:rsidR="00347A6B" w:rsidRPr="00A22811" w:rsidRDefault="00347A6B" w:rsidP="00347A6B">
      <w:pPr>
        <w:adjustRightInd w:val="0"/>
        <w:snapToGrid w:val="0"/>
        <w:spacing w:line="420" w:lineRule="exact"/>
        <w:jc w:val="center"/>
        <w:outlineLvl w:val="0"/>
      </w:pPr>
      <w:bookmarkStart w:id="0" w:name="_GoBack"/>
      <w:proofErr w:type="gramStart"/>
      <w:r w:rsidRPr="00A22811">
        <w:t>山青院</w:t>
      </w:r>
      <w:r>
        <w:rPr>
          <w:rFonts w:hint="eastAsia"/>
        </w:rPr>
        <w:t>党办</w:t>
      </w:r>
      <w:proofErr w:type="gramEnd"/>
      <w:r w:rsidRPr="00A22811">
        <w:t>字〔</w:t>
      </w:r>
      <w:r w:rsidRPr="00A22811">
        <w:t>201</w:t>
      </w:r>
      <w:r>
        <w:rPr>
          <w:rFonts w:hint="eastAsia"/>
        </w:rPr>
        <w:t>9</w:t>
      </w:r>
      <w:r w:rsidRPr="00A22811">
        <w:t>〕</w:t>
      </w:r>
      <w:r>
        <w:rPr>
          <w:rFonts w:hint="eastAsia"/>
        </w:rPr>
        <w:t>11</w:t>
      </w:r>
      <w:r w:rsidRPr="00A22811">
        <w:t>号</w:t>
      </w:r>
    </w:p>
    <w:bookmarkEnd w:id="0"/>
    <w:p w:rsidR="00347A6B" w:rsidRDefault="00347A6B" w:rsidP="00347A6B">
      <w:pPr>
        <w:widowControl/>
        <w:adjustRightInd w:val="0"/>
        <w:snapToGrid w:val="0"/>
        <w:spacing w:line="760" w:lineRule="exact"/>
        <w:jc w:val="center"/>
        <w:rPr>
          <w:rFonts w:ascii="方正小标宋简体" w:eastAsia="方正小标宋简体" w:hAnsi="Tahoma" w:hint="eastAsia"/>
          <w:kern w:val="0"/>
          <w:sz w:val="44"/>
          <w:szCs w:val="44"/>
        </w:rPr>
      </w:pPr>
    </w:p>
    <w:p w:rsidR="00347A6B" w:rsidRPr="0042762B" w:rsidRDefault="00347A6B" w:rsidP="00347A6B">
      <w:pPr>
        <w:widowControl/>
        <w:adjustRightInd w:val="0"/>
        <w:snapToGrid w:val="0"/>
        <w:spacing w:line="760" w:lineRule="exact"/>
        <w:jc w:val="center"/>
        <w:rPr>
          <w:rFonts w:ascii="方正小标宋简体" w:eastAsia="方正小标宋简体" w:hAnsi="Tahoma"/>
          <w:kern w:val="0"/>
          <w:sz w:val="44"/>
          <w:szCs w:val="44"/>
        </w:rPr>
      </w:pPr>
      <w:r w:rsidRPr="0042762B">
        <w:rPr>
          <w:rFonts w:ascii="方正小标宋简体" w:eastAsia="方正小标宋简体" w:hAnsi="Tahoma" w:hint="eastAsia"/>
          <w:kern w:val="0"/>
          <w:sz w:val="44"/>
          <w:szCs w:val="44"/>
        </w:rPr>
        <w:t>关于</w:t>
      </w:r>
      <w:r w:rsidRPr="0042762B">
        <w:rPr>
          <w:rFonts w:ascii="方正小标宋简体" w:eastAsia="方正小标宋简体" w:hAnsi="Tahoma"/>
          <w:kern w:val="0"/>
          <w:sz w:val="44"/>
          <w:szCs w:val="44"/>
        </w:rPr>
        <w:t>印发</w:t>
      </w:r>
      <w:proofErr w:type="gramStart"/>
      <w:r w:rsidRPr="0042762B">
        <w:rPr>
          <w:rFonts w:ascii="方正小标宋简体" w:eastAsia="方正小标宋简体" w:hAnsi="Tahoma" w:hint="eastAsia"/>
          <w:kern w:val="0"/>
          <w:sz w:val="44"/>
          <w:szCs w:val="44"/>
        </w:rPr>
        <w:t>《</w:t>
      </w:r>
      <w:proofErr w:type="gramEnd"/>
      <w:r w:rsidRPr="0042762B">
        <w:rPr>
          <w:rFonts w:ascii="方正小标宋简体" w:eastAsia="方正小标宋简体" w:hAnsi="Tahoma" w:hint="eastAsia"/>
          <w:kern w:val="0"/>
          <w:sz w:val="44"/>
          <w:szCs w:val="44"/>
        </w:rPr>
        <w:t>山东青年政治学院</w:t>
      </w:r>
    </w:p>
    <w:p w:rsidR="00347A6B" w:rsidRPr="0042762B" w:rsidRDefault="00347A6B" w:rsidP="00347A6B">
      <w:pPr>
        <w:widowControl/>
        <w:adjustRightInd w:val="0"/>
        <w:snapToGrid w:val="0"/>
        <w:spacing w:line="760" w:lineRule="exact"/>
        <w:jc w:val="center"/>
        <w:rPr>
          <w:rFonts w:ascii="方正小标宋简体" w:eastAsia="方正小标宋简体" w:hAnsi="仿宋"/>
          <w:kern w:val="0"/>
          <w:sz w:val="44"/>
          <w:szCs w:val="44"/>
        </w:rPr>
      </w:pPr>
      <w:r w:rsidRPr="0042762B">
        <w:rPr>
          <w:rFonts w:ascii="方正小标宋简体" w:eastAsia="方正小标宋简体" w:hAnsi="仿宋" w:hint="eastAsia"/>
          <w:kern w:val="0"/>
          <w:sz w:val="44"/>
          <w:szCs w:val="44"/>
        </w:rPr>
        <w:t>关于制订2019版本科专业人才培养方案</w:t>
      </w:r>
    </w:p>
    <w:p w:rsidR="00347A6B" w:rsidRPr="0042762B" w:rsidRDefault="00347A6B" w:rsidP="00347A6B">
      <w:pPr>
        <w:widowControl/>
        <w:adjustRightInd w:val="0"/>
        <w:snapToGrid w:val="0"/>
        <w:spacing w:line="760" w:lineRule="exact"/>
        <w:jc w:val="center"/>
        <w:rPr>
          <w:rFonts w:ascii="方正小标宋简体" w:eastAsia="方正小标宋简体" w:hAnsi="Tahoma"/>
          <w:kern w:val="0"/>
          <w:sz w:val="44"/>
          <w:szCs w:val="44"/>
        </w:rPr>
      </w:pPr>
      <w:r w:rsidRPr="0042762B">
        <w:rPr>
          <w:rFonts w:ascii="方正小标宋简体" w:eastAsia="方正小标宋简体" w:hAnsi="仿宋" w:hint="eastAsia"/>
          <w:kern w:val="0"/>
          <w:sz w:val="44"/>
          <w:szCs w:val="44"/>
        </w:rPr>
        <w:t>的指导</w:t>
      </w:r>
      <w:r>
        <w:rPr>
          <w:rFonts w:ascii="方正小标宋简体" w:eastAsia="方正小标宋简体" w:hAnsi="仿宋" w:hint="eastAsia"/>
          <w:kern w:val="0"/>
          <w:sz w:val="44"/>
          <w:szCs w:val="44"/>
        </w:rPr>
        <w:t>性</w:t>
      </w:r>
      <w:r w:rsidRPr="0042762B">
        <w:rPr>
          <w:rFonts w:ascii="方正小标宋简体" w:eastAsia="方正小标宋简体" w:hAnsi="仿宋" w:hint="eastAsia"/>
          <w:kern w:val="0"/>
          <w:sz w:val="44"/>
          <w:szCs w:val="44"/>
        </w:rPr>
        <w:t>意见</w:t>
      </w:r>
      <w:proofErr w:type="gramStart"/>
      <w:r w:rsidRPr="0042762B">
        <w:rPr>
          <w:rFonts w:ascii="方正小标宋简体" w:eastAsia="方正小标宋简体" w:hAnsi="Tahoma" w:hint="eastAsia"/>
          <w:kern w:val="0"/>
          <w:sz w:val="44"/>
          <w:szCs w:val="44"/>
        </w:rPr>
        <w:t>》</w:t>
      </w:r>
      <w:proofErr w:type="gramEnd"/>
      <w:r w:rsidRPr="0042762B">
        <w:rPr>
          <w:rFonts w:ascii="方正小标宋简体" w:eastAsia="方正小标宋简体" w:hAnsi="Tahoma"/>
          <w:kern w:val="0"/>
          <w:sz w:val="44"/>
          <w:szCs w:val="44"/>
        </w:rPr>
        <w:t>的通知</w:t>
      </w:r>
    </w:p>
    <w:p w:rsidR="00347A6B" w:rsidRPr="0042762B" w:rsidRDefault="00347A6B" w:rsidP="00347A6B">
      <w:pPr>
        <w:widowControl/>
        <w:adjustRightInd w:val="0"/>
        <w:snapToGrid w:val="0"/>
        <w:spacing w:line="760" w:lineRule="exact"/>
        <w:jc w:val="center"/>
        <w:rPr>
          <w:rFonts w:ascii="仿宋_GB2312" w:hAnsi="Tahoma"/>
          <w:kern w:val="0"/>
          <w:sz w:val="22"/>
          <w:szCs w:val="32"/>
        </w:rPr>
      </w:pPr>
    </w:p>
    <w:p w:rsidR="00347A6B" w:rsidRPr="0042762B" w:rsidRDefault="00347A6B" w:rsidP="00347A6B">
      <w:pPr>
        <w:widowControl/>
        <w:adjustRightInd w:val="0"/>
        <w:snapToGrid w:val="0"/>
        <w:spacing w:line="560" w:lineRule="exact"/>
        <w:jc w:val="left"/>
        <w:rPr>
          <w:rFonts w:ascii="仿宋_GB2312" w:hAnsi="仿宋"/>
          <w:kern w:val="0"/>
          <w:szCs w:val="32"/>
        </w:rPr>
      </w:pPr>
      <w:r w:rsidRPr="0042762B">
        <w:rPr>
          <w:rFonts w:ascii="仿宋_GB2312" w:hAnsi="仿宋" w:hint="eastAsia"/>
          <w:kern w:val="0"/>
          <w:szCs w:val="32"/>
        </w:rPr>
        <w:t>各党总支、直属党支部：</w:t>
      </w:r>
    </w:p>
    <w:p w:rsidR="00347A6B" w:rsidRPr="0042762B" w:rsidRDefault="00347A6B" w:rsidP="00347A6B">
      <w:pPr>
        <w:widowControl/>
        <w:adjustRightInd w:val="0"/>
        <w:snapToGrid w:val="0"/>
        <w:spacing w:line="560" w:lineRule="exact"/>
        <w:ind w:firstLineChars="200" w:firstLine="632"/>
        <w:jc w:val="left"/>
        <w:rPr>
          <w:rFonts w:ascii="仿宋_GB2312" w:hAnsi="仿宋"/>
          <w:kern w:val="0"/>
          <w:szCs w:val="32"/>
        </w:rPr>
      </w:pPr>
      <w:r w:rsidRPr="0042762B">
        <w:rPr>
          <w:rFonts w:ascii="仿宋_GB2312" w:hAnsi="仿宋" w:hint="eastAsia"/>
          <w:kern w:val="0"/>
          <w:szCs w:val="32"/>
        </w:rPr>
        <w:t>《山东青年政治学院关于制订2019版本科专业人才培养方案的指导性意见》</w:t>
      </w:r>
      <w:r w:rsidRPr="0042762B">
        <w:rPr>
          <w:rFonts w:ascii="仿宋_GB2312" w:hAnsi="仿宋"/>
          <w:kern w:val="0"/>
          <w:szCs w:val="32"/>
        </w:rPr>
        <w:t>已经</w:t>
      </w:r>
      <w:r w:rsidRPr="0042762B">
        <w:rPr>
          <w:rFonts w:ascii="仿宋_GB2312" w:hAnsi="仿宋" w:hint="eastAsia"/>
          <w:kern w:val="0"/>
          <w:szCs w:val="32"/>
        </w:rPr>
        <w:t>党委</w:t>
      </w:r>
      <w:r w:rsidRPr="0042762B">
        <w:rPr>
          <w:rFonts w:ascii="仿宋_GB2312" w:hAnsi="仿宋"/>
          <w:kern w:val="0"/>
          <w:szCs w:val="32"/>
        </w:rPr>
        <w:t>会研究</w:t>
      </w:r>
      <w:r w:rsidRPr="0042762B">
        <w:rPr>
          <w:rFonts w:ascii="仿宋_GB2312" w:hAnsi="仿宋" w:hint="eastAsia"/>
          <w:kern w:val="0"/>
          <w:szCs w:val="32"/>
        </w:rPr>
        <w:t>通过</w:t>
      </w:r>
      <w:r w:rsidRPr="0042762B">
        <w:rPr>
          <w:rFonts w:ascii="仿宋_GB2312" w:hAnsi="仿宋"/>
          <w:kern w:val="0"/>
          <w:szCs w:val="32"/>
        </w:rPr>
        <w:t>，现印发给你们，请认真</w:t>
      </w:r>
      <w:r w:rsidRPr="0042762B">
        <w:rPr>
          <w:rFonts w:ascii="仿宋_GB2312" w:hAnsi="仿宋" w:hint="eastAsia"/>
          <w:kern w:val="0"/>
          <w:szCs w:val="32"/>
        </w:rPr>
        <w:t>贯彻</w:t>
      </w:r>
      <w:r w:rsidRPr="0042762B">
        <w:rPr>
          <w:rFonts w:ascii="仿宋_GB2312" w:hAnsi="仿宋"/>
          <w:kern w:val="0"/>
          <w:szCs w:val="32"/>
        </w:rPr>
        <w:t>执行。</w:t>
      </w:r>
    </w:p>
    <w:p w:rsidR="00347A6B" w:rsidRPr="0042762B" w:rsidRDefault="00347A6B" w:rsidP="00347A6B">
      <w:pPr>
        <w:widowControl/>
        <w:adjustRightInd w:val="0"/>
        <w:snapToGrid w:val="0"/>
        <w:spacing w:line="560" w:lineRule="exact"/>
        <w:ind w:firstLineChars="200" w:firstLine="632"/>
        <w:jc w:val="left"/>
        <w:rPr>
          <w:rFonts w:ascii="仿宋_GB2312" w:hAnsi="仿宋"/>
          <w:kern w:val="0"/>
          <w:szCs w:val="32"/>
        </w:rPr>
      </w:pPr>
    </w:p>
    <w:p w:rsidR="00347A6B" w:rsidRPr="0042762B" w:rsidRDefault="00347A6B" w:rsidP="00347A6B">
      <w:pPr>
        <w:widowControl/>
        <w:adjustRightInd w:val="0"/>
        <w:snapToGrid w:val="0"/>
        <w:spacing w:line="560" w:lineRule="exact"/>
        <w:ind w:firstLineChars="1650" w:firstLine="5212"/>
        <w:jc w:val="left"/>
        <w:rPr>
          <w:rFonts w:ascii="仿宋_GB2312" w:hAnsi="仿宋"/>
          <w:kern w:val="0"/>
          <w:szCs w:val="32"/>
        </w:rPr>
      </w:pPr>
      <w:r w:rsidRPr="0042762B">
        <w:rPr>
          <w:rFonts w:ascii="仿宋_GB2312" w:hAnsi="仿宋" w:hint="eastAsia"/>
          <w:kern w:val="0"/>
          <w:szCs w:val="32"/>
        </w:rPr>
        <w:t>党委</w:t>
      </w:r>
      <w:r w:rsidRPr="0042762B">
        <w:rPr>
          <w:rFonts w:ascii="仿宋_GB2312" w:hAnsi="仿宋"/>
          <w:kern w:val="0"/>
          <w:szCs w:val="32"/>
        </w:rPr>
        <w:t>办公室</w:t>
      </w:r>
    </w:p>
    <w:p w:rsidR="00347A6B" w:rsidRPr="0042762B" w:rsidRDefault="00347A6B" w:rsidP="00347A6B">
      <w:pPr>
        <w:widowControl/>
        <w:adjustRightInd w:val="0"/>
        <w:snapToGrid w:val="0"/>
        <w:spacing w:line="560" w:lineRule="exact"/>
        <w:ind w:firstLineChars="1550" w:firstLine="4896"/>
        <w:jc w:val="left"/>
        <w:rPr>
          <w:rFonts w:ascii="仿宋_GB2312" w:hAnsi="仿宋"/>
          <w:kern w:val="0"/>
          <w:szCs w:val="32"/>
        </w:rPr>
      </w:pPr>
      <w:r w:rsidRPr="0042762B">
        <w:rPr>
          <w:rFonts w:ascii="仿宋_GB2312" w:hAnsi="仿宋" w:hint="eastAsia"/>
          <w:kern w:val="0"/>
          <w:szCs w:val="32"/>
        </w:rPr>
        <w:t>2019年4月3日</w:t>
      </w:r>
    </w:p>
    <w:p w:rsidR="00347A6B" w:rsidRPr="0042762B" w:rsidRDefault="00347A6B" w:rsidP="00347A6B">
      <w:pPr>
        <w:widowControl/>
        <w:adjustRightInd w:val="0"/>
        <w:snapToGrid w:val="0"/>
        <w:spacing w:line="760" w:lineRule="exact"/>
        <w:jc w:val="center"/>
        <w:rPr>
          <w:rFonts w:ascii="方正小标宋简体" w:eastAsia="方正小标宋简体" w:hAnsi="Tahoma"/>
          <w:kern w:val="0"/>
          <w:sz w:val="44"/>
          <w:szCs w:val="44"/>
        </w:rPr>
      </w:pPr>
      <w:r w:rsidRPr="0042762B">
        <w:rPr>
          <w:rFonts w:ascii="方正小标宋简体" w:eastAsia="方正小标宋简体" w:hAnsi="Tahoma" w:hint="eastAsia"/>
          <w:kern w:val="0"/>
          <w:sz w:val="44"/>
          <w:szCs w:val="44"/>
        </w:rPr>
        <w:lastRenderedPageBreak/>
        <w:t>山东青年政治学院</w:t>
      </w:r>
    </w:p>
    <w:p w:rsidR="00347A6B" w:rsidRPr="0042762B" w:rsidRDefault="00347A6B" w:rsidP="00347A6B">
      <w:pPr>
        <w:widowControl/>
        <w:adjustRightInd w:val="0"/>
        <w:snapToGrid w:val="0"/>
        <w:spacing w:line="760" w:lineRule="exact"/>
        <w:jc w:val="center"/>
        <w:rPr>
          <w:rFonts w:ascii="方正小标宋简体" w:eastAsia="方正小标宋简体" w:hAnsi="Tahoma"/>
          <w:kern w:val="0"/>
          <w:sz w:val="44"/>
          <w:szCs w:val="44"/>
        </w:rPr>
      </w:pPr>
      <w:r w:rsidRPr="0042762B">
        <w:rPr>
          <w:rFonts w:ascii="方正小标宋简体" w:eastAsia="方正小标宋简体" w:hAnsi="Tahoma" w:hint="eastAsia"/>
          <w:kern w:val="0"/>
          <w:sz w:val="44"/>
          <w:szCs w:val="44"/>
        </w:rPr>
        <w:t>关于制订2019版本科专业人才培养方案的</w:t>
      </w:r>
    </w:p>
    <w:p w:rsidR="00347A6B" w:rsidRPr="0042762B" w:rsidRDefault="00347A6B" w:rsidP="00347A6B">
      <w:pPr>
        <w:widowControl/>
        <w:adjustRightInd w:val="0"/>
        <w:snapToGrid w:val="0"/>
        <w:spacing w:line="760" w:lineRule="exact"/>
        <w:jc w:val="center"/>
        <w:rPr>
          <w:rFonts w:ascii="方正小标宋简体" w:eastAsia="方正小标宋简体" w:hAnsi="Tahoma"/>
          <w:kern w:val="0"/>
          <w:sz w:val="44"/>
          <w:szCs w:val="44"/>
        </w:rPr>
      </w:pPr>
      <w:r w:rsidRPr="0042762B">
        <w:rPr>
          <w:rFonts w:ascii="方正小标宋简体" w:eastAsia="方正小标宋简体" w:hAnsi="Tahoma" w:hint="eastAsia"/>
          <w:kern w:val="0"/>
          <w:sz w:val="44"/>
          <w:szCs w:val="44"/>
        </w:rPr>
        <w:t>指导性意见</w:t>
      </w:r>
    </w:p>
    <w:p w:rsidR="00347A6B" w:rsidRPr="0042762B" w:rsidRDefault="00347A6B" w:rsidP="00347A6B">
      <w:pPr>
        <w:widowControl/>
        <w:adjustRightInd w:val="0"/>
        <w:snapToGrid w:val="0"/>
        <w:spacing w:line="760" w:lineRule="exact"/>
        <w:jc w:val="center"/>
        <w:rPr>
          <w:rFonts w:ascii="仿宋_GB2312" w:hAnsi="仿宋"/>
          <w:kern w:val="0"/>
          <w:szCs w:val="32"/>
        </w:rPr>
      </w:pP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为深入贯彻落实全国</w:t>
      </w:r>
      <w:r>
        <w:rPr>
          <w:rFonts w:ascii="仿宋_GB2312" w:hAnsi="仿宋" w:hint="eastAsia"/>
          <w:kern w:val="0"/>
          <w:szCs w:val="32"/>
        </w:rPr>
        <w:t>全省</w:t>
      </w:r>
      <w:r w:rsidRPr="0042762B">
        <w:rPr>
          <w:rFonts w:ascii="仿宋_GB2312" w:hAnsi="仿宋" w:hint="eastAsia"/>
          <w:kern w:val="0"/>
          <w:szCs w:val="32"/>
        </w:rPr>
        <w:t>教育大会和教育部《关于加快建设高水平本科教育 全面提高人才培养能力的意见》（</w:t>
      </w:r>
      <w:proofErr w:type="gramStart"/>
      <w:r w:rsidRPr="0042762B">
        <w:rPr>
          <w:rFonts w:ascii="仿宋_GB2312" w:hAnsi="仿宋" w:hint="eastAsia"/>
          <w:kern w:val="0"/>
          <w:szCs w:val="32"/>
        </w:rPr>
        <w:t>教高〔2018〕</w:t>
      </w:r>
      <w:proofErr w:type="gramEnd"/>
      <w:r w:rsidRPr="0042762B">
        <w:rPr>
          <w:rFonts w:ascii="仿宋_GB2312" w:hAnsi="仿宋" w:hint="eastAsia"/>
          <w:kern w:val="0"/>
          <w:szCs w:val="32"/>
        </w:rPr>
        <w:t>2号，以下简称“新时代高教40条”）精神，适应新工科、新文科建设需求和</w:t>
      </w:r>
      <w:r w:rsidRPr="0042762B">
        <w:rPr>
          <w:rFonts w:ascii="仿宋_GB2312" w:hAnsi="仿宋"/>
          <w:kern w:val="0"/>
          <w:szCs w:val="32"/>
        </w:rPr>
        <w:t>卓越人才教育培养计划</w:t>
      </w:r>
      <w:r w:rsidRPr="0042762B">
        <w:rPr>
          <w:rFonts w:ascii="仿宋_GB2312" w:hAnsi="仿宋" w:hint="eastAsia"/>
          <w:kern w:val="0"/>
          <w:szCs w:val="32"/>
        </w:rPr>
        <w:t>2.0，满足区域经济社会发展对人才培养的新要求，固化人才培养质量提升工程实施成果，构建满足学生全面成长和个性发展需要、突出</w:t>
      </w:r>
      <w:r>
        <w:rPr>
          <w:rFonts w:ascii="仿宋_GB2312" w:hAnsi="仿宋" w:hint="eastAsia"/>
          <w:kern w:val="0"/>
          <w:szCs w:val="32"/>
        </w:rPr>
        <w:t>学校</w:t>
      </w:r>
      <w:r w:rsidRPr="0042762B">
        <w:rPr>
          <w:rFonts w:ascii="仿宋_GB2312" w:hAnsi="仿宋" w:hint="eastAsia"/>
          <w:kern w:val="0"/>
          <w:szCs w:val="32"/>
        </w:rPr>
        <w:t>办学定位和办学特色的“三位一体”人才培养体系，全面提高人才培养质量，结合2016</w:t>
      </w:r>
      <w:proofErr w:type="gramStart"/>
      <w:r w:rsidRPr="0042762B">
        <w:rPr>
          <w:rFonts w:ascii="仿宋_GB2312" w:hAnsi="仿宋" w:hint="eastAsia"/>
          <w:kern w:val="0"/>
          <w:szCs w:val="32"/>
        </w:rPr>
        <w:t>版人才</w:t>
      </w:r>
      <w:proofErr w:type="gramEnd"/>
      <w:r w:rsidRPr="0042762B">
        <w:rPr>
          <w:rFonts w:ascii="仿宋_GB2312" w:hAnsi="仿宋" w:hint="eastAsia"/>
          <w:kern w:val="0"/>
          <w:szCs w:val="32"/>
        </w:rPr>
        <w:t>培养方案运行情况，决定开展2019</w:t>
      </w:r>
      <w:proofErr w:type="gramStart"/>
      <w:r w:rsidRPr="0042762B">
        <w:rPr>
          <w:rFonts w:ascii="仿宋_GB2312" w:hAnsi="仿宋" w:hint="eastAsia"/>
          <w:kern w:val="0"/>
          <w:szCs w:val="32"/>
        </w:rPr>
        <w:t>版人才</w:t>
      </w:r>
      <w:proofErr w:type="gramEnd"/>
      <w:r w:rsidRPr="0042762B">
        <w:rPr>
          <w:rFonts w:ascii="仿宋_GB2312" w:hAnsi="仿宋" w:hint="eastAsia"/>
          <w:kern w:val="0"/>
          <w:szCs w:val="32"/>
        </w:rPr>
        <w:t>培养方案的制订工作，并提出以下指导性意见。</w:t>
      </w:r>
    </w:p>
    <w:p w:rsidR="00347A6B" w:rsidRPr="0042762B" w:rsidRDefault="00347A6B" w:rsidP="00347A6B">
      <w:pPr>
        <w:adjustRightInd w:val="0"/>
        <w:snapToGrid w:val="0"/>
        <w:spacing w:line="560" w:lineRule="exact"/>
        <w:ind w:firstLineChars="200" w:firstLine="632"/>
        <w:rPr>
          <w:rFonts w:ascii="黑体" w:eastAsia="黑体" w:hAnsi="黑体"/>
          <w:bCs/>
          <w:kern w:val="36"/>
          <w:szCs w:val="32"/>
        </w:rPr>
      </w:pPr>
      <w:r w:rsidRPr="0042762B">
        <w:rPr>
          <w:rFonts w:ascii="黑体" w:eastAsia="黑体" w:hAnsi="黑体" w:hint="eastAsia"/>
          <w:bCs/>
          <w:kern w:val="36"/>
          <w:szCs w:val="32"/>
        </w:rPr>
        <w:t>一、指导思想</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以习近平新时代中国特色社会主义思想为指导，坚持立德树人，准确把握社会主义办学规律、高等教育基本规律和学生成长成才规律，以《普通高等学校本科专业类教学质量国家标准》（以下简称《国标》）为基本遵循，以区域经济社会发展、学生全面成长和个性发展需求为导向，认真审视各专业课程设置对培养目标和毕业要求的支撑度，强化学生中心地位，以学生创新创业精神和实践能力培养为重点，改革培养模式，优化课程体系，强化</w:t>
      </w:r>
      <w:r w:rsidRPr="0042762B">
        <w:rPr>
          <w:rFonts w:ascii="仿宋_GB2312" w:hAnsi="仿宋" w:hint="eastAsia"/>
          <w:kern w:val="0"/>
          <w:szCs w:val="32"/>
        </w:rPr>
        <w:lastRenderedPageBreak/>
        <w:t>实践环节，培养具有青年政治特质的管理者和专业人才。</w:t>
      </w:r>
    </w:p>
    <w:p w:rsidR="00347A6B" w:rsidRPr="0042762B" w:rsidRDefault="00347A6B" w:rsidP="00347A6B">
      <w:pPr>
        <w:adjustRightInd w:val="0"/>
        <w:snapToGrid w:val="0"/>
        <w:spacing w:line="560" w:lineRule="exact"/>
        <w:ind w:firstLineChars="200" w:firstLine="632"/>
        <w:rPr>
          <w:rFonts w:ascii="黑体" w:eastAsia="黑体" w:hAnsi="黑体"/>
          <w:bCs/>
          <w:kern w:val="36"/>
          <w:szCs w:val="32"/>
        </w:rPr>
      </w:pPr>
      <w:r w:rsidRPr="0042762B">
        <w:rPr>
          <w:rFonts w:ascii="黑体" w:eastAsia="黑体" w:hAnsi="黑体" w:hint="eastAsia"/>
          <w:bCs/>
          <w:kern w:val="36"/>
          <w:szCs w:val="32"/>
        </w:rPr>
        <w:t>二、基本原则</w:t>
      </w:r>
    </w:p>
    <w:p w:rsidR="00347A6B" w:rsidRPr="0042762B" w:rsidRDefault="00347A6B" w:rsidP="00347A6B">
      <w:pPr>
        <w:adjustRightInd w:val="0"/>
        <w:snapToGrid w:val="0"/>
        <w:spacing w:line="560" w:lineRule="exact"/>
        <w:ind w:firstLineChars="200" w:firstLine="632"/>
        <w:rPr>
          <w:rFonts w:ascii="楷体_GB2312" w:eastAsia="楷体_GB2312" w:hAnsi="楷体"/>
          <w:kern w:val="0"/>
          <w:szCs w:val="32"/>
        </w:rPr>
      </w:pPr>
      <w:r>
        <w:rPr>
          <w:rFonts w:ascii="楷体_GB2312" w:eastAsia="楷体_GB2312" w:hAnsi="楷体" w:hint="eastAsia"/>
          <w:kern w:val="0"/>
          <w:szCs w:val="32"/>
        </w:rPr>
        <w:t>（一）</w:t>
      </w:r>
      <w:r w:rsidRPr="0042762B">
        <w:rPr>
          <w:rFonts w:ascii="楷体_GB2312" w:eastAsia="楷体_GB2312" w:hAnsi="楷体" w:hint="eastAsia"/>
          <w:kern w:val="0"/>
          <w:szCs w:val="32"/>
        </w:rPr>
        <w:t>以学生为中心，把握高等教育发展的先进理念</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突出学生中心，推动从“教得好”向“学得好”转变；突出产出导向，主动对接经济社会发展需求，科学合理地设置人才培养目标和毕业要求，反向设计，按需设课，优化课程设置，真正依照课程内容、知识点对培养目标和毕业要求的支持度与达成度，加强课程整合，明晰课程逻辑关系，确保课程设置的科学性及合理性；突出持续改进，构建多元化评价体系，提升学生的就业竞争力和职业发展能力。坚持成果导向教育理念，通过建立毕业要求与开设课程之间的矩阵式对应关系，让学生理解“为什么学”。</w:t>
      </w:r>
    </w:p>
    <w:p w:rsidR="00347A6B" w:rsidRPr="0042762B" w:rsidRDefault="00347A6B" w:rsidP="00347A6B">
      <w:pPr>
        <w:adjustRightInd w:val="0"/>
        <w:snapToGrid w:val="0"/>
        <w:spacing w:line="560" w:lineRule="exact"/>
        <w:ind w:firstLineChars="200" w:firstLine="632"/>
        <w:rPr>
          <w:rFonts w:ascii="楷体_GB2312" w:eastAsia="楷体_GB2312" w:hAnsi="楷体"/>
          <w:kern w:val="0"/>
          <w:szCs w:val="32"/>
        </w:rPr>
      </w:pPr>
      <w:r>
        <w:rPr>
          <w:rFonts w:ascii="楷体_GB2312" w:eastAsia="楷体_GB2312" w:hAnsi="楷体" w:hint="eastAsia"/>
          <w:kern w:val="0"/>
          <w:szCs w:val="32"/>
        </w:rPr>
        <w:t>（二）</w:t>
      </w:r>
      <w:r w:rsidRPr="0042762B">
        <w:rPr>
          <w:rFonts w:ascii="楷体_GB2312" w:eastAsia="楷体_GB2312" w:hAnsi="楷体" w:hint="eastAsia"/>
          <w:kern w:val="0"/>
          <w:szCs w:val="32"/>
        </w:rPr>
        <w:t>以国家标准为基本要求，优化人才培养方案</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按照《国标》要求，参照《普通高等学校本科专业目录和专业介绍（2012年）》，将培养目标、培养规格和课程体系要求贯彻落实于培养方案，使人才培养质量符合国家标准。工科专业和教育部已启动试点认证的人文社科类专业的课程体系，原则上应符合专业认证标准要求。</w:t>
      </w:r>
    </w:p>
    <w:p w:rsidR="00347A6B" w:rsidRPr="0042762B" w:rsidRDefault="00347A6B" w:rsidP="00347A6B">
      <w:pPr>
        <w:adjustRightInd w:val="0"/>
        <w:snapToGrid w:val="0"/>
        <w:spacing w:line="560" w:lineRule="exact"/>
        <w:ind w:firstLineChars="200" w:firstLine="632"/>
        <w:rPr>
          <w:rFonts w:ascii="楷体_GB2312" w:eastAsia="楷体_GB2312" w:hAnsi="楷体"/>
          <w:kern w:val="0"/>
          <w:szCs w:val="32"/>
        </w:rPr>
      </w:pPr>
      <w:r>
        <w:rPr>
          <w:rFonts w:ascii="楷体_GB2312" w:eastAsia="楷体_GB2312" w:hAnsi="楷体" w:hint="eastAsia"/>
          <w:kern w:val="0"/>
          <w:szCs w:val="32"/>
        </w:rPr>
        <w:t>（三）</w:t>
      </w:r>
      <w:r w:rsidRPr="0042762B">
        <w:rPr>
          <w:rFonts w:ascii="楷体_GB2312" w:eastAsia="楷体_GB2312" w:hAnsi="楷体" w:hint="eastAsia"/>
          <w:kern w:val="0"/>
          <w:szCs w:val="32"/>
        </w:rPr>
        <w:t>以能力培养为核心，强化青年政治特质的应用型人才培养</w:t>
      </w:r>
    </w:p>
    <w:p w:rsidR="00347A6B" w:rsidRPr="0042762B" w:rsidRDefault="00347A6B" w:rsidP="00347A6B">
      <w:pPr>
        <w:adjustRightInd w:val="0"/>
        <w:snapToGrid w:val="0"/>
        <w:spacing w:line="560" w:lineRule="exact"/>
        <w:ind w:firstLineChars="200" w:firstLine="632"/>
        <w:rPr>
          <w:rFonts w:ascii="仿宋_GB2312" w:hAnsi="仿宋"/>
          <w:color w:val="FF0000"/>
          <w:kern w:val="0"/>
          <w:szCs w:val="32"/>
        </w:rPr>
      </w:pPr>
      <w:r w:rsidRPr="0042762B">
        <w:rPr>
          <w:rFonts w:ascii="仿宋_GB2312" w:hAnsi="仿宋" w:hint="eastAsia"/>
          <w:kern w:val="0"/>
          <w:szCs w:val="32"/>
        </w:rPr>
        <w:t>在人才培养目标定位上，强调培养将专业知识和技能应用于所从事专业社会实践的应用型本科人才。以此为基点，在构建课程体系时，强调能力导向，在重视学生基础知识、基本理论、基</w:t>
      </w:r>
      <w:r w:rsidRPr="0042762B">
        <w:rPr>
          <w:rFonts w:ascii="仿宋_GB2312" w:hAnsi="仿宋" w:hint="eastAsia"/>
          <w:kern w:val="0"/>
          <w:szCs w:val="32"/>
        </w:rPr>
        <w:lastRenderedPageBreak/>
        <w:t>本技能和基本素质培养的同时，更加注重应用性知识的传授和应用能力的培养,重视学生实践能力和创新创业能力的培养，据此系统设计课程体系、实践环节、活动课程，将青年政治元素嵌入人才培养方案，构建具有青年政治特色的应用型人才培养体系。</w:t>
      </w:r>
    </w:p>
    <w:p w:rsidR="00347A6B" w:rsidRPr="0042762B" w:rsidRDefault="00347A6B" w:rsidP="00347A6B">
      <w:pPr>
        <w:adjustRightInd w:val="0"/>
        <w:snapToGrid w:val="0"/>
        <w:spacing w:line="560" w:lineRule="exact"/>
        <w:ind w:firstLineChars="200" w:firstLine="632"/>
        <w:rPr>
          <w:rFonts w:ascii="楷体_GB2312" w:eastAsia="楷体_GB2312" w:hAnsi="楷体"/>
          <w:kern w:val="0"/>
          <w:szCs w:val="32"/>
        </w:rPr>
      </w:pPr>
      <w:r>
        <w:rPr>
          <w:rFonts w:ascii="楷体_GB2312" w:eastAsia="楷体_GB2312" w:hAnsi="楷体" w:hint="eastAsia"/>
          <w:kern w:val="0"/>
          <w:szCs w:val="32"/>
        </w:rPr>
        <w:t>（四）</w:t>
      </w:r>
      <w:r w:rsidRPr="0042762B">
        <w:rPr>
          <w:rFonts w:ascii="楷体_GB2312" w:eastAsia="楷体_GB2312" w:hAnsi="楷体" w:hint="eastAsia"/>
          <w:kern w:val="0"/>
          <w:szCs w:val="32"/>
        </w:rPr>
        <w:t>以学院为主体，积极推进大类培养</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在学校统一规划通识教育课程的基础上，各专业要做好专题调研论证工作，根据行业经济社会发展对人才培养的需求及专业基础，结合专业建设实际，科学论证专业人才培养目标和毕业要求，合理规划课程体系和课程内容，凸显专业优势与培养特色。支持学院在充分论证的基础上，试点先行，积极实施按大类和专业相结合的招生模式和大类培养模式，统筹考虑大类培养与专业教育的有机衔接，使学生具有较强的专业发展能力和社会适应能力。</w:t>
      </w:r>
    </w:p>
    <w:p w:rsidR="00347A6B" w:rsidRPr="0042762B" w:rsidRDefault="00347A6B" w:rsidP="00347A6B">
      <w:pPr>
        <w:adjustRightInd w:val="0"/>
        <w:snapToGrid w:val="0"/>
        <w:spacing w:line="560" w:lineRule="exact"/>
        <w:ind w:firstLineChars="200" w:firstLine="632"/>
        <w:rPr>
          <w:rFonts w:ascii="楷体_GB2312" w:eastAsia="楷体_GB2312" w:hAnsi="楷体"/>
          <w:kern w:val="0"/>
          <w:szCs w:val="32"/>
        </w:rPr>
      </w:pPr>
      <w:r>
        <w:rPr>
          <w:rFonts w:ascii="楷体_GB2312" w:eastAsia="楷体_GB2312" w:hAnsi="楷体" w:hint="eastAsia"/>
          <w:kern w:val="0"/>
          <w:szCs w:val="32"/>
        </w:rPr>
        <w:t>（五）</w:t>
      </w:r>
      <w:r w:rsidRPr="0042762B">
        <w:rPr>
          <w:rFonts w:ascii="楷体_GB2312" w:eastAsia="楷体_GB2312" w:hAnsi="楷体" w:hint="eastAsia"/>
          <w:kern w:val="0"/>
          <w:szCs w:val="32"/>
        </w:rPr>
        <w:t>继承与创新相结合，增强人才培养方案的可操作性、前瞻性</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以2016</w:t>
      </w:r>
      <w:proofErr w:type="gramStart"/>
      <w:r w:rsidRPr="0042762B">
        <w:rPr>
          <w:rFonts w:ascii="仿宋_GB2312" w:hAnsi="仿宋" w:hint="eastAsia"/>
          <w:kern w:val="0"/>
          <w:szCs w:val="32"/>
        </w:rPr>
        <w:t>版人才</w:t>
      </w:r>
      <w:proofErr w:type="gramEnd"/>
      <w:r w:rsidRPr="0042762B">
        <w:rPr>
          <w:rFonts w:ascii="仿宋_GB2312" w:hAnsi="仿宋" w:hint="eastAsia"/>
          <w:kern w:val="0"/>
          <w:szCs w:val="32"/>
        </w:rPr>
        <w:t>培养方案基本框架为基础，与时俱进，通过本轮人才培养方案制订，确立</w:t>
      </w:r>
      <w:r>
        <w:rPr>
          <w:rFonts w:ascii="仿宋_GB2312" w:hAnsi="仿宋" w:hint="eastAsia"/>
          <w:kern w:val="0"/>
          <w:szCs w:val="32"/>
        </w:rPr>
        <w:t>学校</w:t>
      </w:r>
      <w:r w:rsidRPr="0042762B">
        <w:rPr>
          <w:rFonts w:ascii="仿宋_GB2312" w:hAnsi="仿宋" w:hint="eastAsia"/>
          <w:kern w:val="0"/>
          <w:szCs w:val="32"/>
        </w:rPr>
        <w:t>“1234”人才培养思路。即围绕学校“立足区域经济，面向现代服务业，培养具有青年政治特质的管理者和专业人才”这“1”人才培养目标定位，系统设计各专业人才培养目标；在进行人才培养各环节设置时，尊重学生的成长选择权，充分考虑直接就业型人才和继续深造学习型人才“2”种规格人才成长的需要；构筑出以课程体系为核心，第二课堂活</w:t>
      </w:r>
      <w:r w:rsidRPr="0042762B">
        <w:rPr>
          <w:rFonts w:ascii="仿宋_GB2312" w:hAnsi="仿宋" w:hint="eastAsia"/>
          <w:kern w:val="0"/>
          <w:szCs w:val="32"/>
        </w:rPr>
        <w:lastRenderedPageBreak/>
        <w:t>动为延伸，自我教育贯穿始终的“3”位一体应用型人才培养体系。落实在具体操作层面上，处理好“4”组关系，即通过优化课程体系，使理论课和</w:t>
      </w:r>
      <w:proofErr w:type="gramStart"/>
      <w:r w:rsidRPr="0042762B">
        <w:rPr>
          <w:rFonts w:ascii="仿宋_GB2312" w:hAnsi="仿宋" w:hint="eastAsia"/>
          <w:kern w:val="0"/>
          <w:szCs w:val="32"/>
        </w:rPr>
        <w:t>实践课这两种</w:t>
      </w:r>
      <w:proofErr w:type="gramEnd"/>
      <w:r w:rsidRPr="0042762B">
        <w:rPr>
          <w:rFonts w:ascii="仿宋_GB2312" w:hAnsi="仿宋" w:hint="eastAsia"/>
          <w:kern w:val="0"/>
          <w:szCs w:val="32"/>
        </w:rPr>
        <w:t>类型课程、必修课和选修课这两种性质课程的结构设置和比例构成更加合理，课内课程和课外活动课程这两个空间课程的衔接更加紧密，前两个学年和后两个学年这两个阶段的课程布局更加明晰，以此进一步完善培养方案的内在逻辑关系。通过本次方案制订，全面贯彻近年来党和国家高等教育教学发展的新精神和新要求、高等教育教学改革的新思路和新变化，同时将全国高校思想政治工作会议、全国</w:t>
      </w:r>
      <w:r>
        <w:rPr>
          <w:rFonts w:ascii="仿宋_GB2312" w:hAnsi="仿宋" w:hint="eastAsia"/>
          <w:kern w:val="0"/>
          <w:szCs w:val="32"/>
        </w:rPr>
        <w:t>全省</w:t>
      </w:r>
      <w:r w:rsidRPr="0042762B">
        <w:rPr>
          <w:rFonts w:ascii="仿宋_GB2312" w:hAnsi="仿宋" w:hint="eastAsia"/>
          <w:kern w:val="0"/>
          <w:szCs w:val="32"/>
        </w:rPr>
        <w:t>教育工作会议、“新时代高教40条”等重要精神，以及《国标》和专业认证等有关要求落实到学校的人才培养方案中。</w:t>
      </w:r>
    </w:p>
    <w:p w:rsidR="00347A6B" w:rsidRPr="0042762B" w:rsidRDefault="00347A6B" w:rsidP="00347A6B">
      <w:pPr>
        <w:adjustRightInd w:val="0"/>
        <w:snapToGrid w:val="0"/>
        <w:spacing w:line="560" w:lineRule="exact"/>
        <w:ind w:firstLineChars="200" w:firstLine="632"/>
        <w:rPr>
          <w:rFonts w:ascii="黑体" w:eastAsia="黑体" w:hAnsi="黑体"/>
          <w:bCs/>
          <w:kern w:val="36"/>
          <w:szCs w:val="32"/>
        </w:rPr>
      </w:pPr>
      <w:r w:rsidRPr="0042762B">
        <w:rPr>
          <w:rFonts w:ascii="黑体" w:eastAsia="黑体" w:hAnsi="黑体" w:hint="eastAsia"/>
          <w:bCs/>
          <w:kern w:val="36"/>
          <w:szCs w:val="32"/>
        </w:rPr>
        <w:t>三、修订重点</w:t>
      </w:r>
    </w:p>
    <w:p w:rsidR="00347A6B" w:rsidRDefault="00347A6B" w:rsidP="00347A6B">
      <w:pPr>
        <w:adjustRightInd w:val="0"/>
        <w:snapToGrid w:val="0"/>
        <w:spacing w:line="560" w:lineRule="exact"/>
        <w:ind w:firstLineChars="200" w:firstLine="632"/>
        <w:rPr>
          <w:rFonts w:ascii="楷体_GB2312" w:eastAsia="楷体_GB2312" w:hAnsi="楷体" w:hint="eastAsia"/>
          <w:kern w:val="0"/>
          <w:szCs w:val="32"/>
        </w:rPr>
      </w:pPr>
      <w:r>
        <w:rPr>
          <w:rFonts w:ascii="楷体_GB2312" w:eastAsia="楷体_GB2312" w:hAnsi="楷体" w:hint="eastAsia"/>
          <w:kern w:val="0"/>
          <w:szCs w:val="32"/>
        </w:rPr>
        <w:t>（一）</w:t>
      </w:r>
      <w:r w:rsidRPr="0042762B">
        <w:rPr>
          <w:rFonts w:ascii="楷体_GB2312" w:eastAsia="楷体_GB2312" w:hAnsi="楷体" w:hint="eastAsia"/>
          <w:kern w:val="0"/>
          <w:szCs w:val="32"/>
        </w:rPr>
        <w:t>注重课程体系整体优化</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根据学校统一规定的课程体系框架结构和原则性学分要求，合理确定各类课程的比例；正确处理好理论与实践、课内与课外各环节的安排，处理好课程之间的衔接和递进关系，明确课程之间的逻辑和先修后续关系，构建知识结构科学合理、教学内容前后衔接、课程设置先修后续关系恰当、各学期课程学习量相对均衡的课程体系。</w:t>
      </w:r>
    </w:p>
    <w:p w:rsidR="00347A6B" w:rsidRDefault="00347A6B" w:rsidP="00347A6B">
      <w:pPr>
        <w:adjustRightInd w:val="0"/>
        <w:snapToGrid w:val="0"/>
        <w:spacing w:line="560" w:lineRule="exact"/>
        <w:ind w:firstLineChars="200" w:firstLine="632"/>
        <w:rPr>
          <w:rFonts w:ascii="楷体_GB2312" w:eastAsia="楷体_GB2312" w:hAnsi="楷体" w:hint="eastAsia"/>
          <w:kern w:val="0"/>
          <w:szCs w:val="32"/>
        </w:rPr>
      </w:pPr>
      <w:r>
        <w:rPr>
          <w:rFonts w:ascii="楷体_GB2312" w:eastAsia="楷体_GB2312" w:hAnsi="楷体" w:hint="eastAsia"/>
          <w:kern w:val="0"/>
          <w:szCs w:val="32"/>
        </w:rPr>
        <w:t>（二）</w:t>
      </w:r>
      <w:r w:rsidRPr="0042762B">
        <w:rPr>
          <w:rFonts w:ascii="楷体_GB2312" w:eastAsia="楷体_GB2312" w:hAnsi="楷体" w:hint="eastAsia"/>
          <w:kern w:val="0"/>
          <w:szCs w:val="32"/>
        </w:rPr>
        <w:t>保证选修课比例</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以经济社会发展需求为导向，大力开发课程资源，引进名校名师通识教育课程等优质教学资源，增加开课数量，给学生提供</w:t>
      </w:r>
      <w:r w:rsidRPr="0042762B">
        <w:rPr>
          <w:rFonts w:ascii="仿宋_GB2312" w:hAnsi="仿宋" w:hint="eastAsia"/>
          <w:kern w:val="0"/>
          <w:szCs w:val="32"/>
        </w:rPr>
        <w:lastRenderedPageBreak/>
        <w:t>更多的选择机会，满足学生的个性化和多样化发展需求。选修课学分占课堂</w:t>
      </w:r>
      <w:proofErr w:type="gramStart"/>
      <w:r w:rsidRPr="0042762B">
        <w:rPr>
          <w:rFonts w:ascii="仿宋_GB2312" w:hAnsi="仿宋" w:hint="eastAsia"/>
          <w:kern w:val="0"/>
          <w:szCs w:val="32"/>
        </w:rPr>
        <w:t>教学总</w:t>
      </w:r>
      <w:proofErr w:type="gramEnd"/>
      <w:r w:rsidRPr="0042762B">
        <w:rPr>
          <w:rFonts w:ascii="仿宋_GB2312" w:hAnsi="仿宋" w:hint="eastAsia"/>
          <w:kern w:val="0"/>
          <w:szCs w:val="32"/>
        </w:rPr>
        <w:t>学分的比例不低于30%。专业选修课要保证开出较多的课程门数，开出课程学分数与应修课程学分数的比例不低于1.5</w:t>
      </w:r>
      <w:r>
        <w:rPr>
          <w:rFonts w:ascii="仿宋_GB2312" w:hAnsi="仿宋" w:hint="eastAsia"/>
          <w:kern w:val="0"/>
          <w:szCs w:val="32"/>
        </w:rPr>
        <w:t>:</w:t>
      </w:r>
      <w:r w:rsidRPr="0042762B">
        <w:rPr>
          <w:rFonts w:ascii="仿宋_GB2312" w:hAnsi="仿宋" w:hint="eastAsia"/>
          <w:kern w:val="0"/>
          <w:szCs w:val="32"/>
        </w:rPr>
        <w:t>1。</w:t>
      </w:r>
    </w:p>
    <w:p w:rsidR="00347A6B" w:rsidRDefault="00347A6B" w:rsidP="00347A6B">
      <w:pPr>
        <w:adjustRightInd w:val="0"/>
        <w:snapToGrid w:val="0"/>
        <w:spacing w:line="560" w:lineRule="exact"/>
        <w:ind w:firstLineChars="200" w:firstLine="632"/>
        <w:rPr>
          <w:rFonts w:ascii="楷体_GB2312" w:eastAsia="楷体_GB2312" w:hAnsi="楷体" w:hint="eastAsia"/>
          <w:kern w:val="0"/>
          <w:szCs w:val="32"/>
        </w:rPr>
      </w:pPr>
      <w:r>
        <w:rPr>
          <w:rFonts w:ascii="楷体_GB2312" w:eastAsia="楷体_GB2312" w:hAnsi="楷体" w:hint="eastAsia"/>
          <w:kern w:val="0"/>
          <w:szCs w:val="32"/>
        </w:rPr>
        <w:t>（三）</w:t>
      </w:r>
      <w:r w:rsidRPr="0042762B">
        <w:rPr>
          <w:rFonts w:ascii="楷体_GB2312" w:eastAsia="楷体_GB2312" w:hAnsi="楷体" w:hint="eastAsia"/>
          <w:kern w:val="0"/>
          <w:szCs w:val="32"/>
        </w:rPr>
        <w:t>打通学科基础课</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为进一步推动专业群建设，强化专业内涵，促进专业特色发展，提升专业竞争力，要以发展的眼光进行课程体系整体设计。同一学科大类的不同专业要设置统一的学科基础课；鼓励同一专业群内跨学科的专业积极整合课程内容，设置若干门跨学科、跨专业平台课程，建立跨学科、跨专业基础课程平台，促进专业之间的交叉融合，推动专业集群发展。</w:t>
      </w:r>
    </w:p>
    <w:p w:rsidR="00347A6B" w:rsidRDefault="00347A6B" w:rsidP="00347A6B">
      <w:pPr>
        <w:adjustRightInd w:val="0"/>
        <w:snapToGrid w:val="0"/>
        <w:spacing w:line="560" w:lineRule="exact"/>
        <w:ind w:firstLineChars="200" w:firstLine="632"/>
        <w:rPr>
          <w:rFonts w:ascii="楷体_GB2312" w:eastAsia="楷体_GB2312" w:hAnsi="楷体" w:hint="eastAsia"/>
          <w:kern w:val="0"/>
          <w:szCs w:val="32"/>
        </w:rPr>
      </w:pPr>
      <w:r>
        <w:rPr>
          <w:rFonts w:ascii="楷体_GB2312" w:eastAsia="楷体_GB2312" w:hAnsi="楷体" w:hint="eastAsia"/>
          <w:kern w:val="0"/>
          <w:szCs w:val="32"/>
        </w:rPr>
        <w:t>（四）</w:t>
      </w:r>
      <w:r w:rsidRPr="0042762B">
        <w:rPr>
          <w:rFonts w:ascii="楷体_GB2312" w:eastAsia="楷体_GB2312" w:hAnsi="楷体" w:hint="eastAsia"/>
          <w:kern w:val="0"/>
          <w:szCs w:val="32"/>
        </w:rPr>
        <w:t>完善实践教学体系</w:t>
      </w:r>
    </w:p>
    <w:p w:rsidR="00347A6B" w:rsidRDefault="00347A6B" w:rsidP="00347A6B">
      <w:pPr>
        <w:adjustRightInd w:val="0"/>
        <w:snapToGrid w:val="0"/>
        <w:spacing w:line="560" w:lineRule="exact"/>
        <w:ind w:firstLineChars="200" w:firstLine="632"/>
        <w:rPr>
          <w:rFonts w:ascii="仿宋_GB2312" w:hAnsi="仿宋" w:hint="eastAsia"/>
          <w:kern w:val="0"/>
          <w:szCs w:val="32"/>
        </w:rPr>
      </w:pPr>
      <w:r w:rsidRPr="0042762B">
        <w:rPr>
          <w:rFonts w:ascii="仿宋_GB2312" w:hAnsi="仿宋" w:hint="eastAsia"/>
          <w:kern w:val="0"/>
          <w:szCs w:val="32"/>
        </w:rPr>
        <w:t>在2016版本科专业人才培养方案设置基础实践、专业实践、综合实践和创新创业实践模块的基础上，统筹设计实践教学体系，进一步增强实践教学环节的系统性、整体性和综合性，实现理论与实践、课内与课外实践、校内与校外实践的一体化设计，构建相互联系、逐层提高、依次递进、相对完整的实践教学体系。增加综合性、设计性、探究性实验。鼓励各学院根据专业群内各专业学科基础相近、相通和课程内容有共同理论基础的特点，构建实践课程群，对学生进行系统培育。</w:t>
      </w:r>
    </w:p>
    <w:p w:rsidR="00347A6B" w:rsidRPr="00966124" w:rsidRDefault="00347A6B" w:rsidP="00347A6B">
      <w:pPr>
        <w:adjustRightInd w:val="0"/>
        <w:snapToGrid w:val="0"/>
        <w:spacing w:line="560" w:lineRule="exact"/>
        <w:ind w:firstLineChars="200" w:firstLine="632"/>
        <w:rPr>
          <w:rFonts w:ascii="仿宋_GB2312" w:hAnsi="仿宋" w:hint="eastAsia"/>
          <w:kern w:val="0"/>
          <w:szCs w:val="32"/>
        </w:rPr>
      </w:pPr>
      <w:r>
        <w:rPr>
          <w:rFonts w:ascii="楷体_GB2312" w:eastAsia="楷体_GB2312" w:hAnsi="楷体" w:hint="eastAsia"/>
          <w:kern w:val="0"/>
          <w:szCs w:val="32"/>
        </w:rPr>
        <w:t>（五）</w:t>
      </w:r>
      <w:r w:rsidRPr="0042762B">
        <w:rPr>
          <w:rFonts w:ascii="楷体_GB2312" w:eastAsia="楷体_GB2312" w:hAnsi="楷体" w:hint="eastAsia"/>
          <w:kern w:val="0"/>
          <w:szCs w:val="32"/>
        </w:rPr>
        <w:t>强化创新创业课程体系建设</w:t>
      </w:r>
    </w:p>
    <w:p w:rsidR="00347A6B" w:rsidRDefault="00347A6B" w:rsidP="00347A6B">
      <w:pPr>
        <w:adjustRightInd w:val="0"/>
        <w:snapToGrid w:val="0"/>
        <w:spacing w:line="560" w:lineRule="exact"/>
        <w:ind w:firstLineChars="200" w:firstLine="632"/>
        <w:rPr>
          <w:rFonts w:ascii="仿宋_GB2312" w:hAnsi="仿宋" w:hint="eastAsia"/>
          <w:kern w:val="0"/>
          <w:szCs w:val="32"/>
        </w:rPr>
      </w:pPr>
      <w:r w:rsidRPr="0042762B">
        <w:rPr>
          <w:rFonts w:ascii="仿宋_GB2312" w:hAnsi="仿宋" w:hint="eastAsia"/>
          <w:kern w:val="0"/>
          <w:szCs w:val="32"/>
        </w:rPr>
        <w:t>创新创业教育课程分为必修课和选修课两大类。必修课包括</w:t>
      </w:r>
      <w:r w:rsidRPr="0042762B">
        <w:rPr>
          <w:rFonts w:ascii="仿宋_GB2312" w:hAnsi="仿宋" w:hint="eastAsia"/>
          <w:kern w:val="0"/>
          <w:szCs w:val="32"/>
        </w:rPr>
        <w:lastRenderedPageBreak/>
        <w:t>大学生职业发展与就业指导、大学生创业基础两门课程。选修课包括通识教育选修课和专业选修课两类课程。要求各本科专业学生最低修读创新创业类专业选修课1学分，各专业应根据专业特点设置学分和门数均不低于最低应修学分和门数2倍的创新创业教育专业选修课。充分挖掘专业教育中的创新创业元素，</w:t>
      </w:r>
      <w:r w:rsidRPr="0042762B">
        <w:rPr>
          <w:rFonts w:ascii="仿宋_GB2312" w:hAnsi="仿宋"/>
          <w:kern w:val="0"/>
          <w:szCs w:val="32"/>
        </w:rPr>
        <w:t>把创新创业教育融入人才培养全过程</w:t>
      </w:r>
      <w:r w:rsidRPr="0042762B">
        <w:rPr>
          <w:rFonts w:ascii="仿宋_GB2312" w:hAnsi="仿宋" w:hint="eastAsia"/>
          <w:kern w:val="0"/>
          <w:szCs w:val="32"/>
        </w:rPr>
        <w:t xml:space="preserve">。设置创新创业实践类活动课程学分，引导学生以专业为基础广泛参与创新创业实践活动。将大学生科研立项、开放性实验项目、学科竞赛、大学生创新创业项目等实践类活动纳入活动课程管理。    </w:t>
      </w:r>
    </w:p>
    <w:p w:rsidR="00347A6B" w:rsidRPr="00966124" w:rsidRDefault="00347A6B" w:rsidP="00347A6B">
      <w:pPr>
        <w:adjustRightInd w:val="0"/>
        <w:snapToGrid w:val="0"/>
        <w:spacing w:line="560" w:lineRule="exact"/>
        <w:ind w:firstLineChars="200" w:firstLine="632"/>
        <w:rPr>
          <w:rFonts w:ascii="仿宋_GB2312" w:hAnsi="仿宋" w:hint="eastAsia"/>
          <w:kern w:val="0"/>
          <w:szCs w:val="32"/>
        </w:rPr>
      </w:pPr>
      <w:r>
        <w:rPr>
          <w:rFonts w:ascii="楷体_GB2312" w:eastAsia="楷体_GB2312" w:hAnsi="楷体" w:hint="eastAsia"/>
          <w:kern w:val="0"/>
          <w:szCs w:val="32"/>
        </w:rPr>
        <w:t>（六）</w:t>
      </w:r>
      <w:r w:rsidRPr="0042762B">
        <w:rPr>
          <w:rFonts w:ascii="楷体_GB2312" w:eastAsia="楷体_GB2312" w:hAnsi="楷体" w:hint="eastAsia"/>
          <w:kern w:val="0"/>
          <w:szCs w:val="32"/>
        </w:rPr>
        <w:t>设置活动课程</w:t>
      </w:r>
    </w:p>
    <w:p w:rsidR="00347A6B" w:rsidRPr="0042762B" w:rsidRDefault="00347A6B" w:rsidP="00347A6B">
      <w:pPr>
        <w:shd w:val="solid" w:color="FFFFFF" w:fill="auto"/>
        <w:autoSpaceDN w:val="0"/>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活动课程是指课外活动中，由学校组织安排或学生自我组织进行的对学生发展具有系统性长远教育意义、课程意义上的活动，具有学生主体性、形式多样性、强化实践性、可评价量化性等特征。在通识教育实践课程中，设置“劳动课”为活动类必修课，由校学生工作部（处）牵头负责制定标准、组织实施和审核赋分；设置选修类课程“通识教育活动课”模块，由校团委总牵头，负责设计活动、制定标准、组织实施和审核赋分，面向全校学生开放。纳入“通识教育活动课”模块的课外体育活动，由体育部具体组织设计、统筹实施，</w:t>
      </w:r>
      <w:proofErr w:type="gramStart"/>
      <w:r w:rsidRPr="0042762B">
        <w:rPr>
          <w:rFonts w:ascii="仿宋_GB2312" w:hAnsi="仿宋" w:hint="eastAsia"/>
          <w:kern w:val="0"/>
          <w:szCs w:val="32"/>
        </w:rPr>
        <w:t>践行</w:t>
      </w:r>
      <w:proofErr w:type="gramEnd"/>
      <w:r w:rsidRPr="0042762B">
        <w:rPr>
          <w:rFonts w:ascii="仿宋_GB2312" w:hAnsi="仿宋" w:hint="eastAsia"/>
          <w:kern w:val="0"/>
          <w:szCs w:val="32"/>
        </w:rPr>
        <w:fldChar w:fldCharType="begin"/>
      </w:r>
      <w:r w:rsidRPr="0042762B">
        <w:rPr>
          <w:rFonts w:ascii="仿宋_GB2312" w:hAnsi="仿宋" w:hint="eastAsia"/>
          <w:kern w:val="0"/>
          <w:szCs w:val="32"/>
        </w:rPr>
        <w:instrText>HYPERLINK "http://www.so.com/link?m=aDxGAONg+3tmJBA228D1Q3o9JyVOf3gV5kTBQzsxOJviIYuIMS2dRmPp4CG31L3zWC3S6KjUgEdb7ubVnL2fIdfqTMyM+ye8iU20Re5SKa06dpXxLYTl5lj8E1fXvVQW1nA6iRt8n1T2pnMfcw3qZma+rNfzyxOPuOqnx7MJn0f1cStzvASnSKLu5yvrVm1Ux0vAFjq6ktTYTmec7TZ1fmsLdjEEwtlpCUbqA6wjv56Q="</w:instrText>
      </w:r>
      <w:r w:rsidRPr="0042762B">
        <w:rPr>
          <w:rFonts w:ascii="仿宋_GB2312" w:hAnsi="仿宋" w:hint="eastAsia"/>
          <w:kern w:val="0"/>
          <w:szCs w:val="32"/>
        </w:rPr>
        <w:fldChar w:fldCharType="separate"/>
      </w:r>
      <w:r w:rsidRPr="0042762B">
        <w:rPr>
          <w:rFonts w:ascii="仿宋_GB2312" w:hAnsi="仿宋" w:hint="eastAsia"/>
          <w:kern w:val="0"/>
          <w:szCs w:val="32"/>
        </w:rPr>
        <w:t>大学体育教育四年不断线的理念</w:t>
      </w:r>
      <w:r w:rsidRPr="0042762B">
        <w:rPr>
          <w:rFonts w:ascii="仿宋_GB2312" w:hAnsi="仿宋" w:hint="eastAsia"/>
          <w:kern w:val="0"/>
          <w:szCs w:val="32"/>
        </w:rPr>
        <w:fldChar w:fldCharType="end"/>
      </w:r>
      <w:r w:rsidRPr="0042762B">
        <w:rPr>
          <w:rFonts w:ascii="仿宋_GB2312" w:hAnsi="仿宋" w:hint="eastAsia"/>
          <w:kern w:val="0"/>
          <w:szCs w:val="32"/>
        </w:rPr>
        <w:t>。在专业教育实践课程中，设置“专业拓展性活动课程”模块，将教学内容在时间、空间上由课内向课外延伸，解决重课内轻课外的课程结构失衡现象，由各学院设计与学生所学专业紧密结合的</w:t>
      </w:r>
      <w:r w:rsidRPr="0042762B">
        <w:rPr>
          <w:rFonts w:ascii="仿宋_GB2312" w:hAnsi="仿宋" w:hint="eastAsia"/>
          <w:kern w:val="0"/>
          <w:szCs w:val="32"/>
        </w:rPr>
        <w:lastRenderedPageBreak/>
        <w:t>课外活动，并负责制定标准，组织实施和审核赋分，面向所在专业学生开放。具体见校团委牵头制订的《山东青年政治学院活动课程设置与学分管理办法》（见附件1）。每门活动课程均应编制《活动课程实施大纲》，内容包括活动目标、活动内容、活动实施办法、考核或</w:t>
      </w:r>
      <w:proofErr w:type="gramStart"/>
      <w:r w:rsidRPr="0042762B">
        <w:rPr>
          <w:rFonts w:ascii="仿宋_GB2312" w:hAnsi="仿宋" w:hint="eastAsia"/>
          <w:kern w:val="0"/>
          <w:szCs w:val="32"/>
        </w:rPr>
        <w:t>赋分办法</w:t>
      </w:r>
      <w:proofErr w:type="gramEnd"/>
      <w:r w:rsidRPr="0042762B">
        <w:rPr>
          <w:rFonts w:ascii="仿宋_GB2312" w:hAnsi="仿宋" w:hint="eastAsia"/>
          <w:kern w:val="0"/>
          <w:szCs w:val="32"/>
        </w:rPr>
        <w:t>等基本信息。</w:t>
      </w:r>
    </w:p>
    <w:p w:rsidR="00347A6B" w:rsidRPr="0042762B" w:rsidRDefault="00347A6B" w:rsidP="00347A6B">
      <w:pPr>
        <w:adjustRightInd w:val="0"/>
        <w:snapToGrid w:val="0"/>
        <w:spacing w:line="560" w:lineRule="exact"/>
        <w:ind w:firstLineChars="200" w:firstLine="632"/>
        <w:rPr>
          <w:rFonts w:ascii="黑体" w:eastAsia="黑体" w:hAnsi="黑体"/>
          <w:bCs/>
          <w:kern w:val="36"/>
          <w:szCs w:val="32"/>
        </w:rPr>
      </w:pPr>
      <w:r w:rsidRPr="0042762B">
        <w:rPr>
          <w:rFonts w:ascii="黑体" w:eastAsia="黑体" w:hAnsi="黑体" w:hint="eastAsia"/>
          <w:bCs/>
          <w:kern w:val="36"/>
          <w:szCs w:val="32"/>
        </w:rPr>
        <w:t>四、学制、学分和学时安排</w:t>
      </w:r>
    </w:p>
    <w:p w:rsidR="00347A6B" w:rsidRPr="0042762B" w:rsidRDefault="00347A6B" w:rsidP="00347A6B">
      <w:pPr>
        <w:adjustRightInd w:val="0"/>
        <w:snapToGrid w:val="0"/>
        <w:spacing w:line="560" w:lineRule="exact"/>
        <w:ind w:firstLineChars="200" w:firstLine="632"/>
        <w:rPr>
          <w:rFonts w:ascii="楷体_GB2312" w:eastAsia="楷体_GB2312" w:hAnsi="楷体"/>
          <w:kern w:val="0"/>
          <w:szCs w:val="32"/>
        </w:rPr>
      </w:pPr>
      <w:r w:rsidRPr="0042762B">
        <w:rPr>
          <w:rFonts w:ascii="楷体_GB2312" w:eastAsia="楷体_GB2312" w:hAnsi="楷体" w:hint="eastAsia"/>
          <w:kern w:val="0"/>
          <w:szCs w:val="32"/>
        </w:rPr>
        <w:t>（一）学制与修业年限</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学校实行弹性学制管理。</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本科专业：标准学制为4年，弹性修读年限为3</w:t>
      </w:r>
      <w:r w:rsidRPr="0042762B">
        <w:rPr>
          <w:rFonts w:ascii="微软雅黑" w:eastAsia="微软雅黑" w:hAnsi="微软雅黑" w:cs="微软雅黑" w:hint="eastAsia"/>
          <w:kern w:val="0"/>
          <w:szCs w:val="32"/>
        </w:rPr>
        <w:t>~</w:t>
      </w:r>
      <w:r w:rsidRPr="0042762B">
        <w:rPr>
          <w:rFonts w:ascii="仿宋_GB2312" w:hAnsi="仿宋" w:hint="eastAsia"/>
          <w:kern w:val="0"/>
          <w:szCs w:val="32"/>
        </w:rPr>
        <w:t>8年。</w:t>
      </w:r>
    </w:p>
    <w:p w:rsidR="00347A6B" w:rsidRPr="0042762B" w:rsidRDefault="00347A6B" w:rsidP="00347A6B">
      <w:pPr>
        <w:adjustRightInd w:val="0"/>
        <w:snapToGrid w:val="0"/>
        <w:spacing w:line="560" w:lineRule="exact"/>
        <w:ind w:firstLineChars="200" w:firstLine="632"/>
        <w:rPr>
          <w:rFonts w:ascii="楷体_GB2312" w:eastAsia="楷体_GB2312" w:hAnsi="楷体"/>
          <w:kern w:val="0"/>
          <w:szCs w:val="32"/>
        </w:rPr>
      </w:pPr>
      <w:r w:rsidRPr="0042762B">
        <w:rPr>
          <w:rFonts w:ascii="楷体_GB2312" w:eastAsia="楷体_GB2312" w:hAnsi="楷体" w:hint="eastAsia"/>
          <w:kern w:val="0"/>
          <w:szCs w:val="32"/>
        </w:rPr>
        <w:t>（二）学分与学时要求</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1.学分学时要求</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各专业学分要求见表1。</w:t>
      </w:r>
    </w:p>
    <w:p w:rsidR="00347A6B" w:rsidRPr="0042762B" w:rsidRDefault="00347A6B" w:rsidP="00347A6B">
      <w:pPr>
        <w:adjustRightInd w:val="0"/>
        <w:snapToGrid w:val="0"/>
        <w:spacing w:line="560" w:lineRule="exact"/>
        <w:ind w:firstLineChars="200" w:firstLine="474"/>
        <w:rPr>
          <w:rFonts w:ascii="仿宋_GB2312" w:hAnsi="仿宋_GB2312" w:cs="仿宋_GB2312"/>
          <w:b/>
          <w:bCs/>
          <w:kern w:val="0"/>
          <w:sz w:val="24"/>
        </w:rPr>
      </w:pPr>
      <w:r w:rsidRPr="0042762B">
        <w:rPr>
          <w:rFonts w:ascii="仿宋_GB2312" w:hAnsi="仿宋_GB2312" w:cs="仿宋_GB2312" w:hint="eastAsia"/>
          <w:b/>
          <w:bCs/>
          <w:kern w:val="0"/>
          <w:sz w:val="24"/>
        </w:rPr>
        <w:t>表1 各专业学分要求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31"/>
        <w:gridCol w:w="2268"/>
        <w:gridCol w:w="1276"/>
        <w:gridCol w:w="1984"/>
        <w:gridCol w:w="2096"/>
      </w:tblGrid>
      <w:tr w:rsidR="00347A6B" w:rsidRPr="0042762B" w:rsidTr="009C38FF">
        <w:trPr>
          <w:trHeight w:val="504"/>
          <w:jc w:val="center"/>
        </w:trPr>
        <w:tc>
          <w:tcPr>
            <w:tcW w:w="3599" w:type="dxa"/>
            <w:gridSpan w:val="2"/>
            <w:tcMar>
              <w:left w:w="105" w:type="dxa"/>
              <w:right w:w="105" w:type="dxa"/>
            </w:tcMar>
          </w:tcPr>
          <w:p w:rsidR="00347A6B" w:rsidRPr="0042762B" w:rsidRDefault="00347A6B" w:rsidP="009C38FF">
            <w:pPr>
              <w:adjustRightInd w:val="0"/>
              <w:snapToGrid w:val="0"/>
              <w:spacing w:line="560" w:lineRule="exact"/>
              <w:rPr>
                <w:rFonts w:ascii="仿宋_GB2312" w:hAnsi="仿宋" w:cs="仿宋"/>
                <w:bCs/>
                <w:kern w:val="0"/>
                <w:sz w:val="22"/>
                <w:szCs w:val="21"/>
              </w:rPr>
            </w:pPr>
            <w:r w:rsidRPr="0042762B">
              <w:rPr>
                <w:rFonts w:ascii="仿宋_GB2312" w:hAnsi="仿宋" w:cs="仿宋" w:hint="eastAsia"/>
                <w:b/>
                <w:bCs/>
                <w:kern w:val="0"/>
                <w:sz w:val="22"/>
                <w:szCs w:val="21"/>
              </w:rPr>
              <w:t>专业类别</w:t>
            </w:r>
          </w:p>
        </w:tc>
        <w:tc>
          <w:tcPr>
            <w:tcW w:w="1276" w:type="dxa"/>
            <w:tcMar>
              <w:left w:w="105" w:type="dxa"/>
              <w:right w:w="105" w:type="dxa"/>
            </w:tcMar>
          </w:tcPr>
          <w:p w:rsidR="00347A6B" w:rsidRPr="0042762B" w:rsidRDefault="00347A6B" w:rsidP="009C38FF">
            <w:pPr>
              <w:adjustRightInd w:val="0"/>
              <w:snapToGrid w:val="0"/>
              <w:spacing w:line="560" w:lineRule="exact"/>
              <w:rPr>
                <w:rFonts w:ascii="仿宋_GB2312" w:hAnsi="仿宋" w:cs="仿宋"/>
                <w:kern w:val="0"/>
                <w:sz w:val="22"/>
                <w:szCs w:val="21"/>
              </w:rPr>
            </w:pPr>
            <w:r w:rsidRPr="0042762B">
              <w:rPr>
                <w:rFonts w:ascii="仿宋_GB2312" w:hAnsi="仿宋" w:cs="仿宋" w:hint="eastAsia"/>
                <w:b/>
                <w:bCs/>
                <w:kern w:val="0"/>
                <w:sz w:val="22"/>
                <w:szCs w:val="21"/>
              </w:rPr>
              <w:t>总学分</w:t>
            </w:r>
          </w:p>
        </w:tc>
        <w:tc>
          <w:tcPr>
            <w:tcW w:w="1984" w:type="dxa"/>
            <w:tcMar>
              <w:left w:w="105" w:type="dxa"/>
              <w:right w:w="105" w:type="dxa"/>
            </w:tcMar>
          </w:tcPr>
          <w:p w:rsidR="00347A6B" w:rsidRPr="00966124" w:rsidRDefault="00347A6B" w:rsidP="009C38FF">
            <w:pPr>
              <w:adjustRightInd w:val="0"/>
              <w:snapToGrid w:val="0"/>
              <w:spacing w:line="560" w:lineRule="exact"/>
              <w:rPr>
                <w:rFonts w:ascii="仿宋_GB2312" w:hAnsi="仿宋" w:cs="仿宋"/>
                <w:bCs/>
                <w:kern w:val="0"/>
                <w:sz w:val="22"/>
                <w:szCs w:val="21"/>
              </w:rPr>
            </w:pPr>
            <w:r w:rsidRPr="0042762B">
              <w:rPr>
                <w:rFonts w:ascii="仿宋_GB2312" w:hAnsi="仿宋" w:cs="仿宋" w:hint="eastAsia"/>
                <w:b/>
                <w:bCs/>
                <w:kern w:val="0"/>
                <w:sz w:val="22"/>
                <w:szCs w:val="21"/>
              </w:rPr>
              <w:t>实践教学学分比例</w:t>
            </w:r>
          </w:p>
        </w:tc>
        <w:tc>
          <w:tcPr>
            <w:tcW w:w="2096" w:type="dxa"/>
          </w:tcPr>
          <w:p w:rsidR="00347A6B" w:rsidRPr="0042762B" w:rsidRDefault="00347A6B" w:rsidP="009C38FF">
            <w:pPr>
              <w:adjustRightInd w:val="0"/>
              <w:snapToGrid w:val="0"/>
              <w:spacing w:line="560" w:lineRule="exact"/>
              <w:rPr>
                <w:rFonts w:ascii="仿宋_GB2312" w:hAnsi="仿宋" w:cs="仿宋"/>
                <w:b/>
                <w:kern w:val="0"/>
                <w:sz w:val="22"/>
                <w:szCs w:val="21"/>
              </w:rPr>
            </w:pPr>
            <w:r w:rsidRPr="0042762B">
              <w:rPr>
                <w:rFonts w:ascii="仿宋_GB2312" w:hAnsi="仿宋" w:cs="仿宋" w:hint="eastAsia"/>
                <w:b/>
                <w:kern w:val="0"/>
                <w:sz w:val="22"/>
                <w:szCs w:val="21"/>
              </w:rPr>
              <w:t>其中活动课程学分数</w:t>
            </w:r>
          </w:p>
        </w:tc>
      </w:tr>
      <w:tr w:rsidR="00347A6B" w:rsidRPr="0042762B" w:rsidTr="009C38FF">
        <w:trPr>
          <w:trHeight w:val="512"/>
          <w:jc w:val="center"/>
        </w:trPr>
        <w:tc>
          <w:tcPr>
            <w:tcW w:w="1331" w:type="dxa"/>
            <w:vMerge w:val="restart"/>
            <w:tcMar>
              <w:left w:w="105" w:type="dxa"/>
              <w:right w:w="105" w:type="dxa"/>
            </w:tcMar>
          </w:tcPr>
          <w:p w:rsidR="00347A6B" w:rsidRPr="0042762B" w:rsidRDefault="00347A6B" w:rsidP="009C38FF">
            <w:pPr>
              <w:adjustRightInd w:val="0"/>
              <w:snapToGrid w:val="0"/>
              <w:spacing w:line="560" w:lineRule="exact"/>
              <w:rPr>
                <w:rFonts w:ascii="仿宋" w:eastAsia="仿宋" w:hAnsi="仿宋" w:cs="仿宋"/>
                <w:kern w:val="0"/>
                <w:sz w:val="22"/>
                <w:szCs w:val="21"/>
              </w:rPr>
            </w:pPr>
            <w:r w:rsidRPr="0042762B">
              <w:rPr>
                <w:rFonts w:ascii="仿宋" w:eastAsia="仿宋" w:hAnsi="仿宋" w:cs="仿宋" w:hint="eastAsia"/>
                <w:kern w:val="0"/>
                <w:sz w:val="22"/>
                <w:szCs w:val="21"/>
              </w:rPr>
              <w:t>本科</w:t>
            </w:r>
          </w:p>
        </w:tc>
        <w:tc>
          <w:tcPr>
            <w:tcW w:w="2268" w:type="dxa"/>
            <w:tcMar>
              <w:left w:w="105" w:type="dxa"/>
              <w:right w:w="105" w:type="dxa"/>
            </w:tcMar>
          </w:tcPr>
          <w:p w:rsidR="00347A6B" w:rsidRPr="0042762B" w:rsidRDefault="00347A6B" w:rsidP="009C38FF">
            <w:pPr>
              <w:adjustRightInd w:val="0"/>
              <w:snapToGrid w:val="0"/>
              <w:spacing w:line="560" w:lineRule="exact"/>
              <w:rPr>
                <w:rFonts w:ascii="仿宋_GB2312" w:hAnsi="仿宋" w:cs="仿宋"/>
                <w:kern w:val="0"/>
                <w:sz w:val="22"/>
                <w:szCs w:val="21"/>
              </w:rPr>
            </w:pPr>
            <w:r w:rsidRPr="0042762B">
              <w:rPr>
                <w:rFonts w:ascii="仿宋_GB2312" w:hAnsi="仿宋" w:cs="仿宋" w:hint="eastAsia"/>
                <w:kern w:val="0"/>
                <w:sz w:val="22"/>
                <w:szCs w:val="21"/>
              </w:rPr>
              <w:t>工学</w:t>
            </w:r>
          </w:p>
        </w:tc>
        <w:tc>
          <w:tcPr>
            <w:tcW w:w="1276" w:type="dxa"/>
            <w:tcMar>
              <w:left w:w="105" w:type="dxa"/>
              <w:right w:w="105" w:type="dxa"/>
            </w:tcMar>
          </w:tcPr>
          <w:p w:rsidR="00347A6B" w:rsidRPr="0042762B" w:rsidRDefault="00347A6B" w:rsidP="009C38FF">
            <w:pPr>
              <w:adjustRightInd w:val="0"/>
              <w:snapToGrid w:val="0"/>
              <w:spacing w:line="560" w:lineRule="exact"/>
              <w:ind w:firstLineChars="200" w:firstLine="432"/>
              <w:rPr>
                <w:rFonts w:ascii="仿宋_GB2312" w:hAnsi="仿宋" w:cs="仿宋"/>
                <w:kern w:val="0"/>
                <w:sz w:val="22"/>
                <w:szCs w:val="21"/>
              </w:rPr>
            </w:pPr>
            <w:r w:rsidRPr="0042762B">
              <w:rPr>
                <w:rFonts w:ascii="仿宋_GB2312" w:hAnsi="Arial" w:cs="Arial" w:hint="eastAsia"/>
                <w:kern w:val="0"/>
                <w:sz w:val="22"/>
                <w:szCs w:val="21"/>
              </w:rPr>
              <w:t>≤</w:t>
            </w:r>
            <w:r w:rsidRPr="0042762B">
              <w:rPr>
                <w:rFonts w:ascii="仿宋_GB2312" w:hAnsi="仿宋" w:cs="仿宋" w:hint="eastAsia"/>
                <w:kern w:val="0"/>
                <w:sz w:val="22"/>
                <w:szCs w:val="21"/>
              </w:rPr>
              <w:t>160</w:t>
            </w:r>
          </w:p>
        </w:tc>
        <w:tc>
          <w:tcPr>
            <w:tcW w:w="1984" w:type="dxa"/>
            <w:tcMar>
              <w:left w:w="105" w:type="dxa"/>
              <w:right w:w="105" w:type="dxa"/>
            </w:tcMar>
          </w:tcPr>
          <w:p w:rsidR="00347A6B" w:rsidRPr="0042762B" w:rsidRDefault="00347A6B" w:rsidP="009C38FF">
            <w:pPr>
              <w:adjustRightInd w:val="0"/>
              <w:snapToGrid w:val="0"/>
              <w:spacing w:line="560" w:lineRule="exact"/>
              <w:ind w:firstLineChars="200" w:firstLine="432"/>
              <w:rPr>
                <w:rFonts w:ascii="仿宋_GB2312" w:hAnsi="仿宋" w:cs="仿宋"/>
                <w:kern w:val="0"/>
                <w:sz w:val="22"/>
                <w:szCs w:val="21"/>
              </w:rPr>
            </w:pPr>
            <w:r w:rsidRPr="0042762B">
              <w:rPr>
                <w:rFonts w:ascii="仿宋_GB2312" w:hAnsi="仿宋" w:cs="仿宋" w:hint="eastAsia"/>
                <w:kern w:val="0"/>
                <w:sz w:val="22"/>
                <w:szCs w:val="21"/>
              </w:rPr>
              <w:t>≥25</w:t>
            </w:r>
            <w:r w:rsidRPr="0042762B">
              <w:rPr>
                <w:rFonts w:ascii="仿宋_GB2312" w:hAnsi="仿宋" w:cs="仿宋" w:hint="eastAsia"/>
                <w:b/>
                <w:bCs/>
                <w:kern w:val="0"/>
                <w:sz w:val="22"/>
                <w:szCs w:val="21"/>
              </w:rPr>
              <w:t>%</w:t>
            </w:r>
          </w:p>
        </w:tc>
        <w:tc>
          <w:tcPr>
            <w:tcW w:w="2096" w:type="dxa"/>
          </w:tcPr>
          <w:p w:rsidR="00347A6B" w:rsidRPr="0042762B" w:rsidRDefault="00347A6B" w:rsidP="009C38FF">
            <w:pPr>
              <w:adjustRightInd w:val="0"/>
              <w:snapToGrid w:val="0"/>
              <w:spacing w:line="560" w:lineRule="exact"/>
              <w:ind w:firstLineChars="200" w:firstLine="432"/>
              <w:rPr>
                <w:rFonts w:ascii="仿宋_GB2312" w:hAnsi="仿宋" w:cs="仿宋"/>
                <w:kern w:val="0"/>
                <w:sz w:val="22"/>
                <w:szCs w:val="21"/>
              </w:rPr>
            </w:pPr>
            <w:r w:rsidRPr="0042762B">
              <w:rPr>
                <w:rFonts w:ascii="仿宋_GB2312" w:hAnsi="仿宋" w:cs="仿宋" w:hint="eastAsia"/>
                <w:kern w:val="0"/>
                <w:sz w:val="22"/>
                <w:szCs w:val="21"/>
              </w:rPr>
              <w:t>5</w:t>
            </w:r>
          </w:p>
        </w:tc>
      </w:tr>
      <w:tr w:rsidR="00347A6B" w:rsidRPr="0042762B" w:rsidTr="009C38FF">
        <w:trPr>
          <w:trHeight w:val="931"/>
          <w:jc w:val="center"/>
        </w:trPr>
        <w:tc>
          <w:tcPr>
            <w:tcW w:w="1331" w:type="dxa"/>
            <w:vMerge/>
            <w:tcMar>
              <w:left w:w="105" w:type="dxa"/>
              <w:right w:w="105" w:type="dxa"/>
            </w:tcMar>
          </w:tcPr>
          <w:p w:rsidR="00347A6B" w:rsidRPr="0042762B" w:rsidRDefault="00347A6B" w:rsidP="009C38FF">
            <w:pPr>
              <w:adjustRightInd w:val="0"/>
              <w:snapToGrid w:val="0"/>
              <w:spacing w:line="560" w:lineRule="exact"/>
              <w:ind w:firstLineChars="200" w:firstLine="432"/>
              <w:rPr>
                <w:rFonts w:ascii="仿宋" w:eastAsia="仿宋" w:hAnsi="仿宋" w:cs="仿宋"/>
                <w:kern w:val="0"/>
                <w:sz w:val="22"/>
                <w:szCs w:val="21"/>
              </w:rPr>
            </w:pPr>
          </w:p>
        </w:tc>
        <w:tc>
          <w:tcPr>
            <w:tcW w:w="2268" w:type="dxa"/>
            <w:tcMar>
              <w:left w:w="105" w:type="dxa"/>
              <w:right w:w="105" w:type="dxa"/>
            </w:tcMar>
          </w:tcPr>
          <w:p w:rsidR="00347A6B" w:rsidRPr="0042762B" w:rsidRDefault="00347A6B" w:rsidP="009C38FF">
            <w:pPr>
              <w:adjustRightInd w:val="0"/>
              <w:snapToGrid w:val="0"/>
              <w:spacing w:line="560" w:lineRule="exact"/>
              <w:rPr>
                <w:rFonts w:ascii="仿宋_GB2312" w:hAnsi="仿宋" w:cs="仿宋"/>
                <w:kern w:val="0"/>
                <w:sz w:val="22"/>
                <w:szCs w:val="21"/>
              </w:rPr>
            </w:pPr>
            <w:r w:rsidRPr="0042762B">
              <w:rPr>
                <w:rFonts w:ascii="仿宋_GB2312" w:hAnsi="仿宋" w:cs="仿宋" w:hint="eastAsia"/>
                <w:kern w:val="0"/>
                <w:sz w:val="22"/>
                <w:szCs w:val="21"/>
              </w:rPr>
              <w:t>管理学、经济学、法学、文学、艺术学</w:t>
            </w:r>
          </w:p>
        </w:tc>
        <w:tc>
          <w:tcPr>
            <w:tcW w:w="1276" w:type="dxa"/>
            <w:tcMar>
              <w:left w:w="105" w:type="dxa"/>
              <w:right w:w="105" w:type="dxa"/>
            </w:tcMar>
          </w:tcPr>
          <w:p w:rsidR="00347A6B" w:rsidRPr="0042762B" w:rsidRDefault="00347A6B" w:rsidP="009C38FF">
            <w:pPr>
              <w:adjustRightInd w:val="0"/>
              <w:snapToGrid w:val="0"/>
              <w:spacing w:line="560" w:lineRule="exact"/>
              <w:ind w:firstLineChars="200" w:firstLine="432"/>
              <w:rPr>
                <w:rFonts w:ascii="仿宋_GB2312" w:hAnsi="仿宋" w:cs="仿宋"/>
                <w:kern w:val="0"/>
                <w:sz w:val="22"/>
                <w:szCs w:val="21"/>
              </w:rPr>
            </w:pPr>
            <w:r w:rsidRPr="0042762B">
              <w:rPr>
                <w:rFonts w:ascii="仿宋_GB2312" w:hAnsi="Arial" w:cs="Arial" w:hint="eastAsia"/>
                <w:kern w:val="0"/>
                <w:sz w:val="22"/>
                <w:szCs w:val="21"/>
              </w:rPr>
              <w:t>≤</w:t>
            </w:r>
            <w:r w:rsidRPr="0042762B">
              <w:rPr>
                <w:rFonts w:ascii="仿宋_GB2312" w:hAnsi="仿宋" w:cs="仿宋" w:hint="eastAsia"/>
                <w:kern w:val="0"/>
                <w:sz w:val="22"/>
                <w:szCs w:val="21"/>
              </w:rPr>
              <w:t>160</w:t>
            </w:r>
          </w:p>
        </w:tc>
        <w:tc>
          <w:tcPr>
            <w:tcW w:w="1984" w:type="dxa"/>
            <w:tcMar>
              <w:left w:w="105" w:type="dxa"/>
              <w:right w:w="105" w:type="dxa"/>
            </w:tcMar>
          </w:tcPr>
          <w:p w:rsidR="00347A6B" w:rsidRPr="0042762B" w:rsidRDefault="00347A6B" w:rsidP="009C38FF">
            <w:pPr>
              <w:adjustRightInd w:val="0"/>
              <w:snapToGrid w:val="0"/>
              <w:spacing w:line="560" w:lineRule="exact"/>
              <w:ind w:firstLineChars="200" w:firstLine="432"/>
              <w:rPr>
                <w:rFonts w:ascii="仿宋_GB2312" w:hAnsi="仿宋" w:cs="仿宋"/>
                <w:kern w:val="0"/>
                <w:sz w:val="22"/>
                <w:szCs w:val="21"/>
              </w:rPr>
            </w:pPr>
            <w:r w:rsidRPr="0042762B">
              <w:rPr>
                <w:rFonts w:ascii="仿宋_GB2312" w:hAnsi="仿宋" w:cs="仿宋" w:hint="eastAsia"/>
                <w:kern w:val="0"/>
                <w:sz w:val="22"/>
                <w:szCs w:val="21"/>
              </w:rPr>
              <w:t>≥20</w:t>
            </w:r>
            <w:r w:rsidRPr="0042762B">
              <w:rPr>
                <w:rFonts w:ascii="仿宋_GB2312" w:hAnsi="仿宋" w:cs="仿宋" w:hint="eastAsia"/>
                <w:b/>
                <w:bCs/>
                <w:kern w:val="0"/>
                <w:sz w:val="22"/>
                <w:szCs w:val="21"/>
              </w:rPr>
              <w:t>%</w:t>
            </w:r>
          </w:p>
        </w:tc>
        <w:tc>
          <w:tcPr>
            <w:tcW w:w="2096" w:type="dxa"/>
          </w:tcPr>
          <w:p w:rsidR="00347A6B" w:rsidRPr="0042762B" w:rsidRDefault="00347A6B" w:rsidP="009C38FF">
            <w:pPr>
              <w:adjustRightInd w:val="0"/>
              <w:snapToGrid w:val="0"/>
              <w:spacing w:line="560" w:lineRule="exact"/>
              <w:ind w:firstLineChars="200" w:firstLine="432"/>
              <w:rPr>
                <w:rFonts w:ascii="仿宋_GB2312" w:hAnsi="仿宋" w:cs="仿宋"/>
                <w:kern w:val="0"/>
                <w:sz w:val="22"/>
                <w:szCs w:val="21"/>
              </w:rPr>
            </w:pPr>
            <w:r w:rsidRPr="0042762B">
              <w:rPr>
                <w:rFonts w:ascii="仿宋_GB2312" w:hAnsi="仿宋" w:cs="仿宋" w:hint="eastAsia"/>
                <w:kern w:val="0"/>
                <w:sz w:val="22"/>
                <w:szCs w:val="21"/>
              </w:rPr>
              <w:t>5</w:t>
            </w:r>
          </w:p>
        </w:tc>
      </w:tr>
      <w:tr w:rsidR="00347A6B" w:rsidRPr="0042762B" w:rsidTr="009C38FF">
        <w:trPr>
          <w:trHeight w:val="352"/>
          <w:jc w:val="center"/>
        </w:trPr>
        <w:tc>
          <w:tcPr>
            <w:tcW w:w="1331" w:type="dxa"/>
            <w:vMerge w:val="restart"/>
            <w:tcMar>
              <w:left w:w="105" w:type="dxa"/>
              <w:right w:w="105" w:type="dxa"/>
            </w:tcMar>
          </w:tcPr>
          <w:p w:rsidR="00347A6B" w:rsidRPr="0042762B" w:rsidRDefault="00347A6B" w:rsidP="009C38FF">
            <w:pPr>
              <w:adjustRightInd w:val="0"/>
              <w:snapToGrid w:val="0"/>
              <w:spacing w:line="560" w:lineRule="exact"/>
              <w:rPr>
                <w:rFonts w:ascii="仿宋" w:eastAsia="仿宋" w:hAnsi="仿宋" w:cs="仿宋"/>
                <w:kern w:val="0"/>
                <w:sz w:val="22"/>
                <w:szCs w:val="21"/>
              </w:rPr>
            </w:pPr>
            <w:r w:rsidRPr="0042762B">
              <w:rPr>
                <w:rFonts w:ascii="仿宋" w:eastAsia="仿宋" w:hAnsi="仿宋" w:cs="仿宋" w:hint="eastAsia"/>
                <w:kern w:val="0"/>
                <w:sz w:val="22"/>
                <w:szCs w:val="21"/>
              </w:rPr>
              <w:t>本科（校企合作）</w:t>
            </w:r>
          </w:p>
        </w:tc>
        <w:tc>
          <w:tcPr>
            <w:tcW w:w="2268" w:type="dxa"/>
            <w:tcMar>
              <w:left w:w="105" w:type="dxa"/>
              <w:right w:w="105" w:type="dxa"/>
            </w:tcMar>
          </w:tcPr>
          <w:p w:rsidR="00347A6B" w:rsidRPr="0042762B" w:rsidRDefault="00347A6B" w:rsidP="009C38FF">
            <w:pPr>
              <w:adjustRightInd w:val="0"/>
              <w:snapToGrid w:val="0"/>
              <w:spacing w:line="560" w:lineRule="exact"/>
              <w:rPr>
                <w:rFonts w:ascii="仿宋_GB2312" w:hAnsi="仿宋" w:cs="仿宋"/>
                <w:kern w:val="0"/>
                <w:sz w:val="22"/>
                <w:szCs w:val="21"/>
              </w:rPr>
            </w:pPr>
            <w:r w:rsidRPr="0042762B">
              <w:rPr>
                <w:rFonts w:ascii="仿宋_GB2312" w:hAnsi="仿宋" w:cs="仿宋" w:hint="eastAsia"/>
                <w:kern w:val="0"/>
                <w:sz w:val="22"/>
                <w:szCs w:val="21"/>
              </w:rPr>
              <w:t>工学</w:t>
            </w:r>
          </w:p>
        </w:tc>
        <w:tc>
          <w:tcPr>
            <w:tcW w:w="1276" w:type="dxa"/>
            <w:tcMar>
              <w:left w:w="105" w:type="dxa"/>
              <w:right w:w="105" w:type="dxa"/>
            </w:tcMar>
          </w:tcPr>
          <w:p w:rsidR="00347A6B" w:rsidRPr="0042762B" w:rsidRDefault="00347A6B" w:rsidP="009C38FF">
            <w:pPr>
              <w:adjustRightInd w:val="0"/>
              <w:snapToGrid w:val="0"/>
              <w:spacing w:line="560" w:lineRule="exact"/>
              <w:ind w:firstLineChars="200" w:firstLine="432"/>
              <w:rPr>
                <w:rFonts w:ascii="仿宋_GB2312" w:hAnsi="仿宋" w:cs="仿宋"/>
                <w:kern w:val="0"/>
                <w:sz w:val="22"/>
                <w:szCs w:val="21"/>
              </w:rPr>
            </w:pPr>
            <w:r w:rsidRPr="0042762B">
              <w:rPr>
                <w:rFonts w:ascii="仿宋_GB2312" w:hAnsi="Arial" w:cs="Arial" w:hint="eastAsia"/>
                <w:kern w:val="0"/>
                <w:sz w:val="22"/>
                <w:szCs w:val="21"/>
              </w:rPr>
              <w:t>≤</w:t>
            </w:r>
            <w:r w:rsidRPr="0042762B">
              <w:rPr>
                <w:rFonts w:ascii="仿宋_GB2312" w:hAnsi="仿宋" w:cs="仿宋" w:hint="eastAsia"/>
                <w:kern w:val="0"/>
                <w:sz w:val="22"/>
                <w:szCs w:val="21"/>
              </w:rPr>
              <w:t>160</w:t>
            </w:r>
          </w:p>
        </w:tc>
        <w:tc>
          <w:tcPr>
            <w:tcW w:w="1984" w:type="dxa"/>
            <w:tcMar>
              <w:left w:w="105" w:type="dxa"/>
              <w:right w:w="105" w:type="dxa"/>
            </w:tcMar>
          </w:tcPr>
          <w:p w:rsidR="00347A6B" w:rsidRPr="0042762B" w:rsidRDefault="00347A6B" w:rsidP="009C38FF">
            <w:pPr>
              <w:adjustRightInd w:val="0"/>
              <w:snapToGrid w:val="0"/>
              <w:spacing w:line="560" w:lineRule="exact"/>
              <w:ind w:firstLineChars="200" w:firstLine="432"/>
              <w:rPr>
                <w:rFonts w:ascii="仿宋_GB2312" w:hAnsi="仿宋" w:cs="仿宋"/>
                <w:kern w:val="0"/>
                <w:sz w:val="22"/>
                <w:szCs w:val="21"/>
              </w:rPr>
            </w:pPr>
            <w:r w:rsidRPr="0042762B">
              <w:rPr>
                <w:rFonts w:ascii="仿宋_GB2312" w:hAnsi="仿宋" w:cs="仿宋" w:hint="eastAsia"/>
                <w:kern w:val="0"/>
                <w:sz w:val="22"/>
                <w:szCs w:val="21"/>
              </w:rPr>
              <w:t>≥30</w:t>
            </w:r>
            <w:r w:rsidRPr="0042762B">
              <w:rPr>
                <w:rFonts w:ascii="仿宋_GB2312" w:hAnsi="仿宋" w:cs="仿宋" w:hint="eastAsia"/>
                <w:b/>
                <w:bCs/>
                <w:kern w:val="0"/>
                <w:sz w:val="22"/>
                <w:szCs w:val="21"/>
              </w:rPr>
              <w:t>%</w:t>
            </w:r>
          </w:p>
        </w:tc>
        <w:tc>
          <w:tcPr>
            <w:tcW w:w="2096" w:type="dxa"/>
          </w:tcPr>
          <w:p w:rsidR="00347A6B" w:rsidRPr="0042762B" w:rsidRDefault="00347A6B" w:rsidP="009C38FF">
            <w:pPr>
              <w:adjustRightInd w:val="0"/>
              <w:snapToGrid w:val="0"/>
              <w:spacing w:line="560" w:lineRule="exact"/>
              <w:ind w:firstLineChars="200" w:firstLine="432"/>
              <w:rPr>
                <w:rFonts w:ascii="仿宋_GB2312" w:hAnsi="仿宋" w:cs="仿宋"/>
                <w:kern w:val="0"/>
                <w:sz w:val="22"/>
                <w:szCs w:val="21"/>
              </w:rPr>
            </w:pPr>
            <w:r w:rsidRPr="0042762B">
              <w:rPr>
                <w:rFonts w:ascii="仿宋_GB2312" w:hAnsi="仿宋" w:cs="仿宋" w:hint="eastAsia"/>
                <w:kern w:val="0"/>
                <w:sz w:val="22"/>
                <w:szCs w:val="21"/>
              </w:rPr>
              <w:t>5</w:t>
            </w:r>
          </w:p>
        </w:tc>
      </w:tr>
      <w:tr w:rsidR="00347A6B" w:rsidRPr="0042762B" w:rsidTr="009C38FF">
        <w:trPr>
          <w:trHeight w:val="454"/>
          <w:jc w:val="center"/>
        </w:trPr>
        <w:tc>
          <w:tcPr>
            <w:tcW w:w="1331" w:type="dxa"/>
            <w:vMerge/>
            <w:tcMar>
              <w:left w:w="105" w:type="dxa"/>
              <w:right w:w="105" w:type="dxa"/>
            </w:tcMar>
          </w:tcPr>
          <w:p w:rsidR="00347A6B" w:rsidRPr="0042762B" w:rsidRDefault="00347A6B" w:rsidP="009C38FF">
            <w:pPr>
              <w:adjustRightInd w:val="0"/>
              <w:snapToGrid w:val="0"/>
              <w:spacing w:line="560" w:lineRule="exact"/>
              <w:ind w:firstLineChars="200" w:firstLine="432"/>
              <w:rPr>
                <w:rFonts w:ascii="仿宋" w:eastAsia="仿宋" w:hAnsi="仿宋" w:cs="仿宋"/>
                <w:kern w:val="0"/>
                <w:sz w:val="22"/>
                <w:szCs w:val="21"/>
              </w:rPr>
            </w:pPr>
          </w:p>
        </w:tc>
        <w:tc>
          <w:tcPr>
            <w:tcW w:w="2268" w:type="dxa"/>
            <w:tcMar>
              <w:left w:w="105" w:type="dxa"/>
              <w:right w:w="105" w:type="dxa"/>
            </w:tcMar>
          </w:tcPr>
          <w:p w:rsidR="00347A6B" w:rsidRPr="0042762B" w:rsidRDefault="00347A6B" w:rsidP="009C38FF">
            <w:pPr>
              <w:adjustRightInd w:val="0"/>
              <w:snapToGrid w:val="0"/>
              <w:spacing w:line="560" w:lineRule="exact"/>
              <w:rPr>
                <w:rFonts w:ascii="仿宋_GB2312" w:hAnsi="仿宋" w:cs="仿宋"/>
                <w:kern w:val="0"/>
                <w:sz w:val="22"/>
                <w:szCs w:val="21"/>
              </w:rPr>
            </w:pPr>
            <w:r w:rsidRPr="0042762B">
              <w:rPr>
                <w:rFonts w:ascii="仿宋_GB2312" w:hAnsi="仿宋" w:cs="仿宋" w:hint="eastAsia"/>
                <w:kern w:val="0"/>
                <w:sz w:val="22"/>
                <w:szCs w:val="21"/>
              </w:rPr>
              <w:t>管理学、经济学、法学、文学、艺术学</w:t>
            </w:r>
          </w:p>
        </w:tc>
        <w:tc>
          <w:tcPr>
            <w:tcW w:w="1276" w:type="dxa"/>
            <w:tcMar>
              <w:left w:w="105" w:type="dxa"/>
              <w:right w:w="105" w:type="dxa"/>
            </w:tcMar>
          </w:tcPr>
          <w:p w:rsidR="00347A6B" w:rsidRPr="0042762B" w:rsidRDefault="00347A6B" w:rsidP="009C38FF">
            <w:pPr>
              <w:adjustRightInd w:val="0"/>
              <w:snapToGrid w:val="0"/>
              <w:spacing w:line="560" w:lineRule="exact"/>
              <w:ind w:firstLineChars="200" w:firstLine="432"/>
              <w:rPr>
                <w:rFonts w:ascii="仿宋_GB2312" w:hAnsi="仿宋" w:cs="仿宋"/>
                <w:kern w:val="0"/>
                <w:sz w:val="22"/>
                <w:szCs w:val="21"/>
              </w:rPr>
            </w:pPr>
            <w:r w:rsidRPr="0042762B">
              <w:rPr>
                <w:rFonts w:ascii="仿宋_GB2312" w:hAnsi="Arial" w:cs="Arial" w:hint="eastAsia"/>
                <w:kern w:val="0"/>
                <w:sz w:val="22"/>
                <w:szCs w:val="21"/>
              </w:rPr>
              <w:t>≤</w:t>
            </w:r>
            <w:r w:rsidRPr="0042762B">
              <w:rPr>
                <w:rFonts w:ascii="仿宋_GB2312" w:hAnsi="仿宋" w:cs="仿宋" w:hint="eastAsia"/>
                <w:kern w:val="0"/>
                <w:sz w:val="22"/>
                <w:szCs w:val="21"/>
              </w:rPr>
              <w:t>160</w:t>
            </w:r>
          </w:p>
        </w:tc>
        <w:tc>
          <w:tcPr>
            <w:tcW w:w="1984" w:type="dxa"/>
            <w:tcMar>
              <w:left w:w="105" w:type="dxa"/>
              <w:right w:w="105" w:type="dxa"/>
            </w:tcMar>
          </w:tcPr>
          <w:p w:rsidR="00347A6B" w:rsidRPr="0042762B" w:rsidRDefault="00347A6B" w:rsidP="009C38FF">
            <w:pPr>
              <w:adjustRightInd w:val="0"/>
              <w:snapToGrid w:val="0"/>
              <w:spacing w:line="560" w:lineRule="exact"/>
              <w:ind w:firstLineChars="200" w:firstLine="432"/>
              <w:rPr>
                <w:rFonts w:ascii="仿宋_GB2312" w:hAnsi="仿宋" w:cs="仿宋"/>
                <w:kern w:val="0"/>
                <w:sz w:val="22"/>
                <w:szCs w:val="21"/>
              </w:rPr>
            </w:pPr>
            <w:r w:rsidRPr="0042762B">
              <w:rPr>
                <w:rFonts w:ascii="仿宋_GB2312" w:hAnsi="仿宋" w:cs="仿宋" w:hint="eastAsia"/>
                <w:kern w:val="0"/>
                <w:sz w:val="22"/>
                <w:szCs w:val="21"/>
              </w:rPr>
              <w:t>≥25</w:t>
            </w:r>
            <w:r w:rsidRPr="0042762B">
              <w:rPr>
                <w:rFonts w:ascii="仿宋_GB2312" w:hAnsi="仿宋" w:cs="仿宋" w:hint="eastAsia"/>
                <w:b/>
                <w:bCs/>
                <w:kern w:val="0"/>
                <w:sz w:val="22"/>
                <w:szCs w:val="21"/>
              </w:rPr>
              <w:t>%</w:t>
            </w:r>
          </w:p>
        </w:tc>
        <w:tc>
          <w:tcPr>
            <w:tcW w:w="2096" w:type="dxa"/>
          </w:tcPr>
          <w:p w:rsidR="00347A6B" w:rsidRPr="0042762B" w:rsidRDefault="00347A6B" w:rsidP="009C38FF">
            <w:pPr>
              <w:adjustRightInd w:val="0"/>
              <w:snapToGrid w:val="0"/>
              <w:spacing w:line="560" w:lineRule="exact"/>
              <w:ind w:firstLineChars="200" w:firstLine="432"/>
              <w:rPr>
                <w:rFonts w:ascii="仿宋_GB2312" w:hAnsi="仿宋" w:cs="仿宋"/>
                <w:kern w:val="0"/>
                <w:sz w:val="22"/>
                <w:szCs w:val="21"/>
              </w:rPr>
            </w:pPr>
            <w:r w:rsidRPr="0042762B">
              <w:rPr>
                <w:rFonts w:ascii="仿宋_GB2312" w:hAnsi="仿宋" w:cs="仿宋" w:hint="eastAsia"/>
                <w:kern w:val="0"/>
                <w:sz w:val="22"/>
                <w:szCs w:val="21"/>
              </w:rPr>
              <w:t>5</w:t>
            </w:r>
          </w:p>
        </w:tc>
      </w:tr>
    </w:tbl>
    <w:p w:rsidR="00347A6B" w:rsidRPr="0042762B" w:rsidRDefault="00347A6B" w:rsidP="00347A6B">
      <w:pPr>
        <w:adjustRightInd w:val="0"/>
        <w:snapToGrid w:val="0"/>
        <w:spacing w:line="480" w:lineRule="exact"/>
        <w:ind w:firstLineChars="200" w:firstLine="472"/>
        <w:rPr>
          <w:rFonts w:ascii="仿宋" w:eastAsia="仿宋" w:hAnsi="仿宋"/>
          <w:kern w:val="0"/>
          <w:sz w:val="24"/>
          <w:szCs w:val="24"/>
        </w:rPr>
      </w:pPr>
      <w:r w:rsidRPr="0042762B">
        <w:rPr>
          <w:rFonts w:ascii="仿宋" w:eastAsia="仿宋" w:hAnsi="仿宋" w:hint="eastAsia"/>
          <w:kern w:val="0"/>
          <w:sz w:val="24"/>
          <w:szCs w:val="24"/>
        </w:rPr>
        <w:t>备注：活动课程学分为免学费修读学分，是学生毕业总学分的必要组成部分，活动课程学分不可以替代其他课程学分；山东省高水平应用型立项建设专业（群）、符合专业认证条件的专业按相关规定进行实践教学学分比例设置。</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lastRenderedPageBreak/>
        <w:t>2.学分计算方法</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（1）理论课（含课内实验）16学时1学分；超过16学时的实验原则上应</w:t>
      </w:r>
      <w:proofErr w:type="gramStart"/>
      <w:r w:rsidRPr="0042762B">
        <w:rPr>
          <w:rFonts w:ascii="仿宋_GB2312" w:hAnsi="仿宋" w:hint="eastAsia"/>
          <w:kern w:val="0"/>
          <w:szCs w:val="32"/>
        </w:rPr>
        <w:t>独立设</w:t>
      </w:r>
      <w:proofErr w:type="gramEnd"/>
      <w:r w:rsidRPr="0042762B">
        <w:rPr>
          <w:rFonts w:ascii="仿宋_GB2312" w:hAnsi="仿宋" w:hint="eastAsia"/>
          <w:kern w:val="0"/>
          <w:szCs w:val="32"/>
        </w:rPr>
        <w:t>课，单列的实验课、实践课32学时1学分，大学体育32学时1学分，最小学分单位为0.5。理论学时须为8学时的整数</w:t>
      </w:r>
      <w:proofErr w:type="gramStart"/>
      <w:r w:rsidRPr="0042762B">
        <w:rPr>
          <w:rFonts w:ascii="仿宋_GB2312" w:hAnsi="仿宋" w:hint="eastAsia"/>
          <w:kern w:val="0"/>
          <w:szCs w:val="32"/>
        </w:rPr>
        <w:t>倍</w:t>
      </w:r>
      <w:proofErr w:type="gramEnd"/>
      <w:r w:rsidRPr="0042762B">
        <w:rPr>
          <w:rFonts w:ascii="仿宋_GB2312" w:hAnsi="仿宋" w:hint="eastAsia"/>
          <w:kern w:val="0"/>
          <w:szCs w:val="32"/>
        </w:rPr>
        <w:t>，</w:t>
      </w:r>
      <w:proofErr w:type="gramStart"/>
      <w:r w:rsidRPr="0042762B">
        <w:rPr>
          <w:rFonts w:ascii="仿宋_GB2312" w:hAnsi="仿宋" w:hint="eastAsia"/>
          <w:kern w:val="0"/>
          <w:szCs w:val="32"/>
        </w:rPr>
        <w:t>独立设</w:t>
      </w:r>
      <w:proofErr w:type="gramEnd"/>
      <w:r w:rsidRPr="0042762B">
        <w:rPr>
          <w:rFonts w:ascii="仿宋_GB2312" w:hAnsi="仿宋" w:hint="eastAsia"/>
          <w:kern w:val="0"/>
          <w:szCs w:val="32"/>
        </w:rPr>
        <w:t>课的实验学时须为16学时的整数</w:t>
      </w:r>
      <w:proofErr w:type="gramStart"/>
      <w:r w:rsidRPr="0042762B">
        <w:rPr>
          <w:rFonts w:ascii="仿宋_GB2312" w:hAnsi="仿宋" w:hint="eastAsia"/>
          <w:kern w:val="0"/>
          <w:szCs w:val="32"/>
        </w:rPr>
        <w:t>倍</w:t>
      </w:r>
      <w:proofErr w:type="gramEnd"/>
      <w:r w:rsidRPr="0042762B">
        <w:rPr>
          <w:rFonts w:ascii="仿宋_GB2312" w:hAnsi="仿宋" w:hint="eastAsia"/>
          <w:kern w:val="0"/>
          <w:szCs w:val="32"/>
        </w:rPr>
        <w:t>。强调要因课程内容需要设立独立的实验课，避免为片面追求实践教学学分占比而设课。课内</w:t>
      </w:r>
      <w:proofErr w:type="gramStart"/>
      <w:r w:rsidRPr="0042762B">
        <w:rPr>
          <w:rFonts w:ascii="仿宋_GB2312" w:hAnsi="仿宋" w:hint="eastAsia"/>
          <w:kern w:val="0"/>
          <w:szCs w:val="32"/>
        </w:rPr>
        <w:t>教学总</w:t>
      </w:r>
      <w:proofErr w:type="gramEnd"/>
      <w:r w:rsidRPr="0042762B">
        <w:rPr>
          <w:rFonts w:ascii="仿宋_GB2312" w:hAnsi="仿宋" w:hint="eastAsia"/>
          <w:kern w:val="0"/>
          <w:szCs w:val="32"/>
        </w:rPr>
        <w:t>学时原则上控制在2200-2400之间。</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2）认识实习、专业实习、社会调查（社会实践）、综合实训、学年论文（课程设计）等集中进行的实践教学环节原则上按1周计1学分，具体学分数由各专业根据专业特点设计。毕业实习6-8学分，毕业论文（设计）8-10学分，原则上每1周计1学分。独立设置的实验（实训）课程原则上不低于10学分。</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（3）活动课程的学分认定与计算办法具体见《山东青年政治学院活动课程设置与学分管理办法》。</w:t>
      </w:r>
    </w:p>
    <w:p w:rsidR="00347A6B" w:rsidRPr="0042762B" w:rsidRDefault="00347A6B" w:rsidP="00347A6B">
      <w:pPr>
        <w:adjustRightInd w:val="0"/>
        <w:snapToGrid w:val="0"/>
        <w:spacing w:line="560" w:lineRule="exact"/>
        <w:ind w:firstLineChars="200" w:firstLine="632"/>
        <w:rPr>
          <w:rFonts w:ascii="黑体" w:eastAsia="黑体" w:hAnsi="黑体"/>
          <w:bCs/>
          <w:kern w:val="36"/>
          <w:szCs w:val="32"/>
        </w:rPr>
      </w:pPr>
      <w:r w:rsidRPr="0042762B">
        <w:rPr>
          <w:rFonts w:ascii="黑体" w:eastAsia="黑体" w:hAnsi="黑体" w:hint="eastAsia"/>
          <w:bCs/>
          <w:kern w:val="36"/>
          <w:szCs w:val="32"/>
        </w:rPr>
        <w:t>五、课程设置</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课程体系结构包括通识教育课程、学科基础课程、专业教育课程、专业拓展性活动课程4部分。</w:t>
      </w:r>
    </w:p>
    <w:p w:rsidR="00347A6B" w:rsidRPr="0042762B" w:rsidRDefault="00347A6B" w:rsidP="00347A6B">
      <w:pPr>
        <w:adjustRightInd w:val="0"/>
        <w:snapToGrid w:val="0"/>
        <w:spacing w:line="560" w:lineRule="exact"/>
        <w:ind w:firstLineChars="200" w:firstLine="632"/>
        <w:rPr>
          <w:rFonts w:ascii="楷体_GB2312" w:eastAsia="楷体_GB2312" w:hAnsi="楷体"/>
          <w:kern w:val="0"/>
          <w:szCs w:val="32"/>
        </w:rPr>
      </w:pPr>
      <w:r w:rsidRPr="0042762B">
        <w:rPr>
          <w:rFonts w:ascii="楷体_GB2312" w:eastAsia="楷体_GB2312" w:hAnsi="楷体" w:hint="eastAsia"/>
          <w:kern w:val="0"/>
          <w:szCs w:val="32"/>
        </w:rPr>
        <w:t>（一）通识教育课程</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通识教育课程分为必修课和选修课两大类。</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通识教育必修课包括思想政治类课程（16学分）；国防教育类课程（3学分）；体育类课程（4学分）；大学外语类课程（艺术类专业大学英语课程6学分；非艺术类专业大学英语课程实施</w:t>
      </w:r>
      <w:r w:rsidRPr="0042762B">
        <w:rPr>
          <w:rFonts w:ascii="仿宋_GB2312" w:hAnsi="仿宋" w:hint="eastAsia"/>
          <w:kern w:val="0"/>
          <w:szCs w:val="32"/>
        </w:rPr>
        <w:lastRenderedPageBreak/>
        <w:t>分级教学，分普通班、高阶班，其中普通班12学分、高阶班9学分，</w:t>
      </w:r>
      <w:r w:rsidRPr="0042762B">
        <w:rPr>
          <w:rFonts w:ascii="仿宋_GB2312" w:hAnsi="仿宋" w:hint="eastAsia"/>
          <w:kern w:val="0"/>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42762B">
        <w:rPr>
          <w:rFonts w:ascii="仿宋_GB2312" w:hAnsi="仿宋" w:hint="eastAsia"/>
          <w:kern w:val="0"/>
          <w:szCs w:val="32"/>
        </w:rPr>
        <w:instrText>ADDIN CNKISM.UserStyle</w:instrText>
      </w:r>
      <w:r w:rsidRPr="0042762B">
        <w:rPr>
          <w:rFonts w:ascii="仿宋_GB2312" w:hAnsi="仿宋" w:hint="eastAsia"/>
          <w:kern w:val="0"/>
          <w:szCs w:val="32"/>
        </w:rPr>
      </w:r>
      <w:r w:rsidRPr="0042762B">
        <w:rPr>
          <w:rFonts w:ascii="仿宋_GB2312" w:hAnsi="仿宋" w:hint="eastAsia"/>
          <w:kern w:val="0"/>
          <w:szCs w:val="32"/>
        </w:rPr>
        <w:fldChar w:fldCharType="end"/>
      </w:r>
      <w:r w:rsidRPr="0042762B">
        <w:rPr>
          <w:rFonts w:ascii="仿宋_GB2312" w:hAnsi="仿宋" w:hint="eastAsia"/>
          <w:kern w:val="0"/>
          <w:szCs w:val="32"/>
        </w:rPr>
        <w:t>《大学英语课程分级教学实施方案》另行公布，大学外语类小语种课程不实施分级教学；外语类专业可不开设通识教育大学英语课程，根据专业需求设置第二外语）；计算机基础类课程1.5学分（实施分类教学，具体课程设置方案见附件2）；创新创业类课程4学分；大学生心理健康教育2学分；劳动课（通识教育活动课）0.5学分。</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要求学生修读通识教育选修课不低于13.5学分，其中，第一课堂课程12学分，包括青年政治特色类、人文社科类、自然科学类、工程技术类等四大类，要求学生必须修读青年政治特色类课程2学分，人文社科类中的管理类课程（授予管理学学位专业的学生不作硬性规定）、创新创业类课程、公共艺术类课程各2学分，人文社科类学生修读自然科学类或工程技术类课程2学分；活动类课程1.5学分，其中必须修读青年政治特色类活动课程0.5学分。</w:t>
      </w:r>
    </w:p>
    <w:p w:rsidR="00347A6B" w:rsidRPr="0042762B" w:rsidRDefault="00347A6B" w:rsidP="00347A6B">
      <w:pPr>
        <w:adjustRightInd w:val="0"/>
        <w:snapToGrid w:val="0"/>
        <w:spacing w:line="560" w:lineRule="exact"/>
        <w:ind w:firstLineChars="200" w:firstLine="632"/>
        <w:rPr>
          <w:rFonts w:ascii="楷体_GB2312" w:eastAsia="楷体_GB2312" w:hAnsi="楷体"/>
          <w:kern w:val="0"/>
          <w:szCs w:val="32"/>
        </w:rPr>
      </w:pPr>
      <w:r w:rsidRPr="0042762B">
        <w:rPr>
          <w:rFonts w:ascii="楷体_GB2312" w:eastAsia="楷体_GB2312" w:hAnsi="楷体" w:hint="eastAsia"/>
          <w:kern w:val="0"/>
          <w:szCs w:val="32"/>
        </w:rPr>
        <w:t>（二）学科基础课程</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学科基础课模块是学生必须掌握的本学科的基本知识、基本理论和基本技能的课程，是学生今后专业学习、发展的基石。学科基础课应充分体现学科的基础性、系统性、学术性、拓展性，有利于提高学生的专业适应能力与就业适应能力。各专业可根据专业特点选择开设相应的大学数学类课程，大学数学类课程设置方案（见附件3）。</w:t>
      </w:r>
    </w:p>
    <w:p w:rsidR="00347A6B" w:rsidRPr="0042762B" w:rsidRDefault="00347A6B" w:rsidP="00347A6B">
      <w:pPr>
        <w:adjustRightInd w:val="0"/>
        <w:snapToGrid w:val="0"/>
        <w:spacing w:line="560" w:lineRule="exact"/>
        <w:ind w:firstLineChars="200" w:firstLine="632"/>
        <w:rPr>
          <w:rFonts w:ascii="楷体_GB2312" w:eastAsia="楷体_GB2312" w:hAnsi="楷体"/>
          <w:kern w:val="0"/>
          <w:szCs w:val="32"/>
        </w:rPr>
      </w:pPr>
      <w:r w:rsidRPr="0042762B">
        <w:rPr>
          <w:rFonts w:ascii="楷体_GB2312" w:eastAsia="楷体_GB2312" w:hAnsi="楷体" w:hint="eastAsia"/>
          <w:kern w:val="0"/>
          <w:szCs w:val="32"/>
        </w:rPr>
        <w:lastRenderedPageBreak/>
        <w:t>（三）专业教育课程</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专业教育课程由专业必修课和专业选修课组成。在专业必修课中，要求每个专业开设16学时的专业导学课程。每个专业要根据社会发展需求和专业特点，参照《国标》设置专业核心课程，体现该专业以及相对应岗位群</w:t>
      </w:r>
      <w:proofErr w:type="gramStart"/>
      <w:r w:rsidRPr="0042762B">
        <w:rPr>
          <w:rFonts w:ascii="仿宋_GB2312" w:hAnsi="仿宋" w:hint="eastAsia"/>
          <w:kern w:val="0"/>
          <w:szCs w:val="32"/>
        </w:rPr>
        <w:t>最</w:t>
      </w:r>
      <w:proofErr w:type="gramEnd"/>
      <w:r w:rsidRPr="0042762B">
        <w:rPr>
          <w:rFonts w:ascii="仿宋_GB2312" w:hAnsi="仿宋" w:hint="eastAsia"/>
          <w:kern w:val="0"/>
          <w:szCs w:val="32"/>
        </w:rPr>
        <w:t xml:space="preserve">核心的理论知识和技能，一般不超过12门。在设置专业选修课时，要加强对选修课程的梳理整合，充分厘清专业选修课和专业必修课之间的关系、不同专业选修课之间的关系，形成课程模块，坚决杜绝因人设课。各专业应立足区域经济社会发展，面向现代服务业，综合考虑学校专业集群建设思路、本专业人才培养定位、两类人才培养等要素，设置2-3个专业方向或设置课程模块，以便于学校整合资源,增强集聚效应，增加学生就业适应性，夯实学生继续深造的基础。    </w:t>
      </w:r>
    </w:p>
    <w:p w:rsidR="00347A6B" w:rsidRPr="0042762B" w:rsidRDefault="00347A6B" w:rsidP="00347A6B">
      <w:pPr>
        <w:adjustRightInd w:val="0"/>
        <w:snapToGrid w:val="0"/>
        <w:spacing w:line="560" w:lineRule="exact"/>
        <w:ind w:firstLineChars="200" w:firstLine="632"/>
        <w:rPr>
          <w:rFonts w:ascii="楷体_GB2312" w:eastAsia="楷体_GB2312" w:hAnsi="楷体"/>
          <w:kern w:val="0"/>
          <w:szCs w:val="32"/>
        </w:rPr>
      </w:pPr>
      <w:r w:rsidRPr="0042762B">
        <w:rPr>
          <w:rFonts w:ascii="楷体_GB2312" w:eastAsia="楷体_GB2312" w:hAnsi="楷体" w:hint="eastAsia"/>
          <w:kern w:val="0"/>
          <w:szCs w:val="32"/>
        </w:rPr>
        <w:t>（四）专业拓展性活动课程</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单独设置“专业拓展性活动课程”模块，3个学分，作为实践课平台的活动类选修课供学生选择。专业拓展性活动课程的目标设立及内容选择应是专业教育课程的有效拓展延伸。各专业在设置该模块课程时，要兼顾直接就业、继续深造两类学生。为继续深造而开展的自主学习是学生自我教育的重要载体和呈现方式，要保证有充足的活动类课程资源和学分</w:t>
      </w:r>
      <w:proofErr w:type="gramStart"/>
      <w:r w:rsidRPr="0042762B">
        <w:rPr>
          <w:rFonts w:ascii="仿宋_GB2312" w:hAnsi="仿宋" w:hint="eastAsia"/>
          <w:kern w:val="0"/>
          <w:szCs w:val="32"/>
        </w:rPr>
        <w:t>供继续</w:t>
      </w:r>
      <w:proofErr w:type="gramEnd"/>
      <w:r w:rsidRPr="0042762B">
        <w:rPr>
          <w:rFonts w:ascii="仿宋_GB2312" w:hAnsi="仿宋" w:hint="eastAsia"/>
          <w:kern w:val="0"/>
          <w:szCs w:val="32"/>
        </w:rPr>
        <w:t>深造类学生选择。</w:t>
      </w:r>
    </w:p>
    <w:p w:rsidR="00347A6B" w:rsidRPr="0042762B" w:rsidRDefault="00347A6B" w:rsidP="00347A6B">
      <w:pPr>
        <w:adjustRightInd w:val="0"/>
        <w:snapToGrid w:val="0"/>
        <w:spacing w:line="560" w:lineRule="exact"/>
        <w:ind w:firstLineChars="200" w:firstLine="632"/>
        <w:rPr>
          <w:rFonts w:ascii="黑体" w:eastAsia="黑体" w:hAnsi="黑体"/>
          <w:bCs/>
          <w:kern w:val="36"/>
          <w:szCs w:val="32"/>
        </w:rPr>
      </w:pPr>
      <w:r w:rsidRPr="0042762B">
        <w:rPr>
          <w:rFonts w:ascii="黑体" w:eastAsia="黑体" w:hAnsi="黑体" w:hint="eastAsia"/>
          <w:bCs/>
          <w:kern w:val="36"/>
          <w:szCs w:val="32"/>
        </w:rPr>
        <w:t>六、工作安排</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1.2019年4月上旬，发布《山东青年政治学院关于修订2019版本科专业人才培养方案的指导意见》，全面启动专业人才培养</w:t>
      </w:r>
      <w:r w:rsidRPr="0042762B">
        <w:rPr>
          <w:rFonts w:ascii="仿宋_GB2312" w:hAnsi="仿宋" w:hint="eastAsia"/>
          <w:kern w:val="0"/>
          <w:szCs w:val="32"/>
        </w:rPr>
        <w:lastRenderedPageBreak/>
        <w:t>方案制订工作。各学院（部）必须认真学习指导意见，确保认识到位。</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2.2019年4月中下旬-5月上旬，各学院（部）要广泛调研，准确把握专业发展前沿动态和同类高校专业建设状况；要深入行业企业一线，相关专业重点聚焦</w:t>
      </w:r>
      <w:proofErr w:type="gramStart"/>
      <w:r w:rsidRPr="0042762B">
        <w:rPr>
          <w:rFonts w:ascii="仿宋_GB2312" w:hAnsi="仿宋" w:hint="eastAsia"/>
          <w:kern w:val="0"/>
          <w:szCs w:val="32"/>
        </w:rPr>
        <w:t>康养文旅</w:t>
      </w:r>
      <w:proofErr w:type="gramEnd"/>
      <w:r w:rsidRPr="0042762B">
        <w:rPr>
          <w:rFonts w:ascii="仿宋_GB2312" w:hAnsi="仿宋" w:hint="eastAsia"/>
          <w:kern w:val="0"/>
          <w:szCs w:val="32"/>
        </w:rPr>
        <w:t>产业，全面了解社会对专业人才的岗位需求和知识能力结构需求；要认真征求师生建议，使培养方案制订的理念转变为师生的教学改革共识；要组织专家充分论证，包括高校专家、行业企业专家和校友代表，汇总整理论证意见形成《本科专业人才培养方案论证意见表》（见附件4）。</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3.2019年5月中下旬，制订专业人才培养方案（格式要求见附件5），经学院教学委员会审核，并经学院党政联席会议审议通过后，提交教务处。</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4.2019年6月，学校组织专家对各学院提交的2019</w:t>
      </w:r>
      <w:proofErr w:type="gramStart"/>
      <w:r w:rsidRPr="0042762B">
        <w:rPr>
          <w:rFonts w:ascii="仿宋_GB2312" w:hAnsi="仿宋" w:hint="eastAsia"/>
          <w:kern w:val="0"/>
          <w:szCs w:val="32"/>
        </w:rPr>
        <w:t>版专业</w:t>
      </w:r>
      <w:proofErr w:type="gramEnd"/>
      <w:r w:rsidRPr="0042762B">
        <w:rPr>
          <w:rFonts w:ascii="仿宋_GB2312" w:hAnsi="仿宋" w:hint="eastAsia"/>
          <w:kern w:val="0"/>
          <w:szCs w:val="32"/>
        </w:rPr>
        <w:t>人才培养方案进行审定后，提交学校教学指导委员会审议通过，报校长办公会审批。</w:t>
      </w:r>
    </w:p>
    <w:p w:rsidR="00347A6B" w:rsidRDefault="00347A6B" w:rsidP="00347A6B">
      <w:pPr>
        <w:adjustRightInd w:val="0"/>
        <w:snapToGrid w:val="0"/>
        <w:spacing w:line="560" w:lineRule="exact"/>
        <w:ind w:firstLineChars="200" w:firstLine="632"/>
        <w:rPr>
          <w:rFonts w:ascii="仿宋_GB2312" w:hAnsi="仿宋" w:hint="eastAsia"/>
          <w:kern w:val="0"/>
          <w:szCs w:val="32"/>
        </w:rPr>
      </w:pPr>
      <w:r w:rsidRPr="0042762B">
        <w:rPr>
          <w:rFonts w:ascii="仿宋_GB2312" w:hAnsi="仿宋" w:hint="eastAsia"/>
          <w:kern w:val="0"/>
          <w:szCs w:val="32"/>
        </w:rPr>
        <w:t>5.2019年7月，将人才培养方案印制成册，发布实施。</w:t>
      </w:r>
    </w:p>
    <w:p w:rsidR="00347A6B" w:rsidRDefault="00347A6B" w:rsidP="00347A6B">
      <w:pPr>
        <w:adjustRightInd w:val="0"/>
        <w:snapToGrid w:val="0"/>
        <w:spacing w:line="560" w:lineRule="exact"/>
        <w:ind w:firstLineChars="200" w:firstLine="632"/>
        <w:rPr>
          <w:rFonts w:ascii="仿宋_GB2312" w:hAnsi="仿宋" w:hint="eastAsia"/>
          <w:kern w:val="0"/>
          <w:szCs w:val="32"/>
        </w:rPr>
      </w:pPr>
    </w:p>
    <w:p w:rsidR="00347A6B" w:rsidRPr="0042762B" w:rsidRDefault="00347A6B" w:rsidP="00347A6B">
      <w:pPr>
        <w:adjustRightInd w:val="0"/>
        <w:snapToGrid w:val="0"/>
        <w:spacing w:line="520" w:lineRule="exact"/>
        <w:ind w:firstLineChars="200" w:firstLine="632"/>
        <w:rPr>
          <w:rFonts w:ascii="仿宋_GB2312" w:hAnsi="仿宋"/>
          <w:kern w:val="0"/>
          <w:szCs w:val="32"/>
        </w:rPr>
      </w:pPr>
      <w:r w:rsidRPr="0042762B">
        <w:rPr>
          <w:rFonts w:ascii="仿宋_GB2312" w:hAnsi="仿宋" w:hint="eastAsia"/>
          <w:kern w:val="0"/>
          <w:szCs w:val="32"/>
        </w:rPr>
        <w:t>附件：1.活动课程设置与学分管理办法</w:t>
      </w:r>
    </w:p>
    <w:p w:rsidR="00347A6B" w:rsidRPr="0042762B" w:rsidRDefault="00347A6B" w:rsidP="00347A6B">
      <w:pPr>
        <w:adjustRightInd w:val="0"/>
        <w:snapToGrid w:val="0"/>
        <w:spacing w:line="520" w:lineRule="exact"/>
        <w:ind w:firstLineChars="200" w:firstLine="632"/>
        <w:rPr>
          <w:rFonts w:ascii="仿宋_GB2312" w:hAnsi="仿宋"/>
          <w:kern w:val="0"/>
          <w:szCs w:val="32"/>
        </w:rPr>
      </w:pPr>
      <w:r w:rsidRPr="0042762B">
        <w:rPr>
          <w:rFonts w:ascii="仿宋_GB2312" w:hAnsi="仿宋" w:hint="eastAsia"/>
          <w:kern w:val="0"/>
          <w:szCs w:val="32"/>
        </w:rPr>
        <w:t xml:space="preserve">      2.《计算机基础》课程设置方案</w:t>
      </w:r>
    </w:p>
    <w:p w:rsidR="00347A6B" w:rsidRPr="0042762B" w:rsidRDefault="00347A6B" w:rsidP="00347A6B">
      <w:pPr>
        <w:adjustRightInd w:val="0"/>
        <w:snapToGrid w:val="0"/>
        <w:spacing w:line="520" w:lineRule="exact"/>
        <w:ind w:firstLineChars="200" w:firstLine="632"/>
        <w:rPr>
          <w:rFonts w:ascii="仿宋_GB2312" w:hAnsi="仿宋"/>
          <w:kern w:val="0"/>
          <w:szCs w:val="32"/>
        </w:rPr>
      </w:pPr>
      <w:r w:rsidRPr="0042762B">
        <w:rPr>
          <w:rFonts w:ascii="仿宋_GB2312" w:hAnsi="仿宋" w:hint="eastAsia"/>
          <w:kern w:val="0"/>
          <w:szCs w:val="32"/>
        </w:rPr>
        <w:t xml:space="preserve">      3.《大学数学》课程设置方案</w:t>
      </w:r>
    </w:p>
    <w:p w:rsidR="00347A6B" w:rsidRPr="0042762B" w:rsidRDefault="00347A6B" w:rsidP="00347A6B">
      <w:pPr>
        <w:adjustRightInd w:val="0"/>
        <w:snapToGrid w:val="0"/>
        <w:spacing w:line="520" w:lineRule="exact"/>
        <w:ind w:firstLineChars="200" w:firstLine="632"/>
        <w:rPr>
          <w:rFonts w:ascii="仿宋_GB2312" w:hAnsi="仿宋"/>
          <w:kern w:val="0"/>
          <w:szCs w:val="32"/>
        </w:rPr>
      </w:pPr>
      <w:r w:rsidRPr="0042762B">
        <w:rPr>
          <w:rFonts w:ascii="仿宋_GB2312" w:hAnsi="仿宋" w:hint="eastAsia"/>
          <w:kern w:val="0"/>
          <w:szCs w:val="32"/>
        </w:rPr>
        <w:t xml:space="preserve">      4.本科专业人才培养方案论证意见表</w:t>
      </w:r>
    </w:p>
    <w:p w:rsidR="00347A6B" w:rsidRDefault="00347A6B" w:rsidP="00347A6B">
      <w:pPr>
        <w:adjustRightInd w:val="0"/>
        <w:snapToGrid w:val="0"/>
        <w:spacing w:line="520" w:lineRule="exact"/>
        <w:ind w:firstLineChars="500" w:firstLine="1579"/>
        <w:rPr>
          <w:rFonts w:ascii="仿宋_GB2312" w:hAnsi="仿宋" w:hint="eastAsia"/>
          <w:kern w:val="0"/>
          <w:szCs w:val="32"/>
        </w:rPr>
      </w:pPr>
      <w:r w:rsidRPr="0042762B">
        <w:rPr>
          <w:rFonts w:ascii="仿宋_GB2312" w:hAnsi="仿宋" w:hint="eastAsia"/>
          <w:kern w:val="0"/>
          <w:szCs w:val="32"/>
        </w:rPr>
        <w:t>5.×××专业人才培养方案</w:t>
      </w:r>
    </w:p>
    <w:p w:rsidR="00347A6B" w:rsidRPr="0042762B" w:rsidRDefault="00347A6B" w:rsidP="00347A6B">
      <w:pPr>
        <w:adjustRightInd w:val="0"/>
        <w:snapToGrid w:val="0"/>
        <w:spacing w:line="520" w:lineRule="exact"/>
        <w:ind w:firstLineChars="500" w:firstLine="1579"/>
        <w:rPr>
          <w:rFonts w:ascii="仿宋_GB2312" w:hAnsi="仿宋"/>
          <w:kern w:val="0"/>
          <w:szCs w:val="32"/>
        </w:rPr>
      </w:pPr>
    </w:p>
    <w:p w:rsidR="00347A6B" w:rsidRDefault="00347A6B" w:rsidP="00347A6B">
      <w:pPr>
        <w:adjustRightInd w:val="0"/>
        <w:snapToGrid w:val="0"/>
        <w:spacing w:line="560" w:lineRule="exact"/>
        <w:jc w:val="center"/>
        <w:rPr>
          <w:rFonts w:ascii="仿宋_GB2312" w:hAnsi="仿宋" w:hint="eastAsia"/>
          <w:kern w:val="0"/>
          <w:szCs w:val="32"/>
        </w:rPr>
      </w:pPr>
      <w:r>
        <w:rPr>
          <w:rFonts w:ascii="仿宋_GB2312" w:hAnsi="仿宋" w:hint="eastAsia"/>
          <w:kern w:val="0"/>
          <w:szCs w:val="32"/>
        </w:rPr>
        <w:lastRenderedPageBreak/>
        <w:t>（此页无正文）</w:t>
      </w:r>
    </w:p>
    <w:p w:rsidR="00347A6B" w:rsidRDefault="00347A6B" w:rsidP="00347A6B">
      <w:pPr>
        <w:adjustRightInd w:val="0"/>
        <w:snapToGrid w:val="0"/>
        <w:spacing w:line="560" w:lineRule="exact"/>
        <w:jc w:val="center"/>
        <w:rPr>
          <w:rFonts w:ascii="仿宋_GB2312" w:hAnsi="仿宋" w:hint="eastAsia"/>
          <w:kern w:val="0"/>
          <w:szCs w:val="32"/>
        </w:rPr>
      </w:pPr>
    </w:p>
    <w:p w:rsidR="00347A6B" w:rsidRDefault="00347A6B" w:rsidP="00347A6B">
      <w:pPr>
        <w:adjustRightInd w:val="0"/>
        <w:snapToGrid w:val="0"/>
        <w:spacing w:line="560" w:lineRule="exact"/>
        <w:jc w:val="center"/>
        <w:rPr>
          <w:rFonts w:ascii="仿宋_GB2312" w:hAnsi="仿宋" w:hint="eastAsia"/>
          <w:kern w:val="0"/>
          <w:szCs w:val="32"/>
        </w:rPr>
      </w:pPr>
    </w:p>
    <w:p w:rsidR="00347A6B" w:rsidRPr="0042762B" w:rsidRDefault="00347A6B" w:rsidP="00347A6B">
      <w:pPr>
        <w:adjustRightInd w:val="0"/>
        <w:snapToGrid w:val="0"/>
        <w:spacing w:line="560" w:lineRule="exact"/>
        <w:jc w:val="center"/>
        <w:rPr>
          <w:rFonts w:ascii="仿宋_GB2312" w:hAnsi="仿宋"/>
          <w:kern w:val="0"/>
          <w:szCs w:val="32"/>
        </w:rPr>
      </w:pP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 xml:space="preserve">                       </w:t>
      </w:r>
      <w:r>
        <w:rPr>
          <w:rFonts w:ascii="仿宋_GB2312" w:hAnsi="仿宋" w:hint="eastAsia"/>
          <w:kern w:val="0"/>
          <w:szCs w:val="32"/>
        </w:rPr>
        <w:t xml:space="preserve">         党委办公室</w:t>
      </w:r>
    </w:p>
    <w:p w:rsidR="00347A6B" w:rsidRPr="0042762B" w:rsidRDefault="00347A6B" w:rsidP="00347A6B">
      <w:pPr>
        <w:adjustRightInd w:val="0"/>
        <w:snapToGrid w:val="0"/>
        <w:spacing w:line="560" w:lineRule="exact"/>
        <w:ind w:firstLineChars="200" w:firstLine="632"/>
        <w:rPr>
          <w:rFonts w:ascii="仿宋_GB2312" w:hAnsi="仿宋"/>
          <w:kern w:val="0"/>
          <w:szCs w:val="32"/>
        </w:rPr>
      </w:pPr>
      <w:r w:rsidRPr="0042762B">
        <w:rPr>
          <w:rFonts w:ascii="仿宋_GB2312" w:hAnsi="仿宋" w:hint="eastAsia"/>
          <w:kern w:val="0"/>
          <w:szCs w:val="32"/>
        </w:rPr>
        <w:t xml:space="preserve">    </w:t>
      </w:r>
      <w:r>
        <w:rPr>
          <w:rFonts w:ascii="仿宋_GB2312" w:hAnsi="仿宋" w:hint="eastAsia"/>
          <w:kern w:val="0"/>
          <w:szCs w:val="32"/>
        </w:rPr>
        <w:t xml:space="preserve">                         </w:t>
      </w:r>
      <w:r w:rsidRPr="0042762B">
        <w:rPr>
          <w:rFonts w:ascii="仿宋_GB2312" w:hAnsi="仿宋" w:hint="eastAsia"/>
          <w:kern w:val="0"/>
          <w:szCs w:val="32"/>
        </w:rPr>
        <w:t>2019年4月</w:t>
      </w:r>
      <w:r w:rsidRPr="0042762B">
        <w:rPr>
          <w:rFonts w:ascii="仿宋_GB2312" w:hAnsi="仿宋"/>
          <w:kern w:val="0"/>
          <w:szCs w:val="32"/>
        </w:rPr>
        <w:t>3</w:t>
      </w:r>
      <w:r w:rsidRPr="0042762B">
        <w:rPr>
          <w:rFonts w:ascii="仿宋_GB2312" w:hAnsi="仿宋" w:hint="eastAsia"/>
          <w:kern w:val="0"/>
          <w:szCs w:val="32"/>
        </w:rPr>
        <w:t>日</w:t>
      </w:r>
    </w:p>
    <w:p w:rsidR="00347A6B" w:rsidRPr="0042762B" w:rsidRDefault="00347A6B" w:rsidP="00347A6B">
      <w:pPr>
        <w:widowControl/>
        <w:adjustRightInd w:val="0"/>
        <w:snapToGrid w:val="0"/>
        <w:spacing w:line="560" w:lineRule="exact"/>
        <w:ind w:firstLineChars="200" w:firstLine="632"/>
        <w:jc w:val="left"/>
        <w:rPr>
          <w:rFonts w:ascii="仿宋_GB2312" w:hAnsi="仿宋"/>
          <w:kern w:val="0"/>
          <w:szCs w:val="32"/>
        </w:rPr>
      </w:pPr>
    </w:p>
    <w:p w:rsidR="00347A6B" w:rsidRPr="0042762B" w:rsidRDefault="00347A6B" w:rsidP="00347A6B">
      <w:pPr>
        <w:widowControl/>
        <w:adjustRightInd w:val="0"/>
        <w:snapToGrid w:val="0"/>
        <w:spacing w:line="560" w:lineRule="exact"/>
        <w:ind w:firstLineChars="200" w:firstLine="632"/>
        <w:jc w:val="left"/>
        <w:rPr>
          <w:rFonts w:ascii="仿宋_GB2312" w:hAnsi="仿宋"/>
          <w:kern w:val="0"/>
          <w:szCs w:val="32"/>
        </w:rPr>
      </w:pPr>
    </w:p>
    <w:p w:rsidR="00347A6B" w:rsidRPr="0042762B" w:rsidRDefault="00347A6B" w:rsidP="00347A6B">
      <w:pPr>
        <w:widowControl/>
        <w:adjustRightInd w:val="0"/>
        <w:snapToGrid w:val="0"/>
        <w:spacing w:line="560" w:lineRule="exact"/>
        <w:ind w:firstLineChars="200" w:firstLine="632"/>
        <w:jc w:val="left"/>
        <w:rPr>
          <w:rFonts w:ascii="仿宋_GB2312" w:hAnsi="仿宋"/>
          <w:kern w:val="0"/>
          <w:szCs w:val="32"/>
        </w:rPr>
      </w:pPr>
    </w:p>
    <w:p w:rsidR="00347A6B" w:rsidRDefault="00347A6B" w:rsidP="00347A6B">
      <w:pPr>
        <w:spacing w:line="960" w:lineRule="exact"/>
        <w:ind w:leftChars="-6" w:left="-19" w:firstLineChars="6" w:firstLine="21"/>
        <w:outlineLvl w:val="0"/>
        <w:rPr>
          <w:color w:val="FF0000"/>
          <w:sz w:val="52"/>
        </w:rPr>
      </w:pPr>
      <w:r>
        <w:rPr>
          <w:rFonts w:ascii="仿宋_GB2312"/>
          <w:color w:val="FF0000"/>
          <w:sz w:val="36"/>
        </w:rPr>
        <w:t xml:space="preserve">                      </w:t>
      </w:r>
      <w:r>
        <w:rPr>
          <w:rFonts w:ascii="仿宋_GB2312"/>
          <w:color w:val="FF0000"/>
          <w:sz w:val="18"/>
        </w:rPr>
        <w:t xml:space="preserve"> </w:t>
      </w:r>
      <w:r w:rsidRPr="00A44348">
        <w:rPr>
          <w:rFonts w:ascii="仿宋_GB2312" w:hint="eastAsia"/>
          <w:color w:val="FF0000"/>
          <w:w w:val="90"/>
          <w:sz w:val="18"/>
        </w:rPr>
        <w:t xml:space="preserve">  </w:t>
      </w:r>
    </w:p>
    <w:p w:rsidR="00347A6B" w:rsidRDefault="00347A6B" w:rsidP="00347A6B">
      <w:pPr>
        <w:pStyle w:val="a6"/>
        <w:kinsoku w:val="0"/>
        <w:overflowPunct w:val="0"/>
        <w:autoSpaceDE w:val="0"/>
        <w:autoSpaceDN w:val="0"/>
        <w:adjustRightInd w:val="0"/>
        <w:spacing w:beforeLines="50" w:before="289" w:line="560" w:lineRule="exact"/>
        <w:ind w:firstLine="0"/>
        <w:rPr>
          <w:rFonts w:ascii="仿宋_GB2312" w:hint="eastAsia"/>
        </w:rPr>
      </w:pPr>
    </w:p>
    <w:p w:rsidR="00347A6B" w:rsidRDefault="00347A6B" w:rsidP="00347A6B">
      <w:pPr>
        <w:pStyle w:val="a6"/>
        <w:kinsoku w:val="0"/>
        <w:overflowPunct w:val="0"/>
        <w:autoSpaceDE w:val="0"/>
        <w:autoSpaceDN w:val="0"/>
        <w:adjustRightInd w:val="0"/>
        <w:spacing w:beforeLines="50" w:before="289" w:line="560" w:lineRule="exact"/>
        <w:ind w:firstLine="0"/>
        <w:rPr>
          <w:rFonts w:ascii="仿宋_GB2312" w:hint="eastAsia"/>
        </w:rPr>
      </w:pPr>
    </w:p>
    <w:p w:rsidR="00347A6B" w:rsidRDefault="00347A6B" w:rsidP="00347A6B">
      <w:pPr>
        <w:pStyle w:val="a6"/>
        <w:kinsoku w:val="0"/>
        <w:overflowPunct w:val="0"/>
        <w:autoSpaceDE w:val="0"/>
        <w:autoSpaceDN w:val="0"/>
        <w:adjustRightInd w:val="0"/>
        <w:spacing w:beforeLines="50" w:before="289" w:line="560" w:lineRule="exact"/>
        <w:ind w:firstLine="0"/>
        <w:rPr>
          <w:rFonts w:ascii="仿宋_GB2312" w:hint="eastAsia"/>
        </w:rPr>
      </w:pPr>
    </w:p>
    <w:p w:rsidR="00347A6B" w:rsidRDefault="00347A6B" w:rsidP="00347A6B">
      <w:pPr>
        <w:pStyle w:val="a6"/>
        <w:kinsoku w:val="0"/>
        <w:overflowPunct w:val="0"/>
        <w:autoSpaceDE w:val="0"/>
        <w:autoSpaceDN w:val="0"/>
        <w:adjustRightInd w:val="0"/>
        <w:spacing w:beforeLines="50" w:before="289" w:line="560" w:lineRule="exact"/>
        <w:ind w:firstLine="0"/>
        <w:rPr>
          <w:rFonts w:ascii="仿宋_GB2312" w:hint="eastAsia"/>
        </w:rPr>
      </w:pPr>
    </w:p>
    <w:p w:rsidR="00347A6B" w:rsidRDefault="00347A6B" w:rsidP="00347A6B">
      <w:pPr>
        <w:pStyle w:val="a6"/>
        <w:kinsoku w:val="0"/>
        <w:wordWrap w:val="0"/>
        <w:overflowPunct w:val="0"/>
        <w:autoSpaceDE w:val="0"/>
        <w:autoSpaceDN w:val="0"/>
        <w:adjustRightInd w:val="0"/>
        <w:snapToGrid w:val="0"/>
        <w:ind w:firstLine="0"/>
        <w:rPr>
          <w:rFonts w:ascii="方正仿宋_GBK" w:eastAsia="方正仿宋_GBK" w:hint="eastAsia"/>
          <w:sz w:val="10"/>
        </w:rPr>
      </w:pPr>
    </w:p>
    <w:tbl>
      <w:tblPr>
        <w:tblpPr w:leftFromText="180" w:rightFromText="180" w:vertAnchor="text" w:horzAnchor="margin" w:tblpY="2763"/>
        <w:tblW w:w="8845" w:type="dxa"/>
        <w:tblBorders>
          <w:insideH w:val="single" w:sz="4" w:space="0" w:color="auto"/>
        </w:tblBorders>
        <w:tblLayout w:type="fixed"/>
        <w:tblLook w:val="0000" w:firstRow="0" w:lastRow="0" w:firstColumn="0" w:lastColumn="0" w:noHBand="0" w:noVBand="0"/>
      </w:tblPr>
      <w:tblGrid>
        <w:gridCol w:w="3461"/>
        <w:gridCol w:w="5384"/>
      </w:tblGrid>
      <w:tr w:rsidR="00347A6B" w:rsidRPr="00D40A0B" w:rsidTr="00347A6B">
        <w:trPr>
          <w:cantSplit/>
          <w:trHeight w:val="578"/>
        </w:trPr>
        <w:tc>
          <w:tcPr>
            <w:tcW w:w="3461" w:type="dxa"/>
            <w:tcBorders>
              <w:top w:val="single" w:sz="4" w:space="0" w:color="auto"/>
              <w:left w:val="nil"/>
              <w:bottom w:val="single" w:sz="4" w:space="0" w:color="auto"/>
              <w:right w:val="nil"/>
            </w:tcBorders>
            <w:vAlign w:val="center"/>
          </w:tcPr>
          <w:p w:rsidR="00347A6B" w:rsidRPr="00D40A0B" w:rsidRDefault="00347A6B" w:rsidP="00347A6B">
            <w:pPr>
              <w:ind w:firstLineChars="50" w:firstLine="138"/>
              <w:rPr>
                <w:sz w:val="28"/>
                <w:szCs w:val="28"/>
              </w:rPr>
            </w:pPr>
            <w:r w:rsidRPr="00D40A0B">
              <w:rPr>
                <w:sz w:val="28"/>
                <w:szCs w:val="28"/>
              </w:rPr>
              <w:t>党委办公室</w:t>
            </w:r>
          </w:p>
        </w:tc>
        <w:tc>
          <w:tcPr>
            <w:tcW w:w="5384" w:type="dxa"/>
            <w:tcBorders>
              <w:top w:val="single" w:sz="4" w:space="0" w:color="auto"/>
              <w:left w:val="nil"/>
              <w:bottom w:val="single" w:sz="4" w:space="0" w:color="auto"/>
              <w:right w:val="nil"/>
            </w:tcBorders>
            <w:vAlign w:val="center"/>
          </w:tcPr>
          <w:p w:rsidR="00347A6B" w:rsidRPr="00D40A0B" w:rsidRDefault="00347A6B" w:rsidP="00347A6B">
            <w:pPr>
              <w:keepLines/>
              <w:ind w:right="197"/>
              <w:jc w:val="right"/>
              <w:rPr>
                <w:sz w:val="28"/>
                <w:szCs w:val="28"/>
              </w:rPr>
            </w:pPr>
            <w:r w:rsidRPr="00D40A0B">
              <w:rPr>
                <w:sz w:val="28"/>
                <w:szCs w:val="28"/>
              </w:rPr>
              <w:t>201</w:t>
            </w:r>
            <w:r>
              <w:rPr>
                <w:rFonts w:hint="eastAsia"/>
                <w:sz w:val="28"/>
                <w:szCs w:val="28"/>
              </w:rPr>
              <w:t>9</w:t>
            </w:r>
            <w:r w:rsidRPr="00D40A0B">
              <w:rPr>
                <w:sz w:val="28"/>
                <w:szCs w:val="28"/>
              </w:rPr>
              <w:t>年</w:t>
            </w:r>
            <w:r>
              <w:rPr>
                <w:rFonts w:hint="eastAsia"/>
                <w:sz w:val="28"/>
                <w:szCs w:val="28"/>
              </w:rPr>
              <w:t>4</w:t>
            </w:r>
            <w:r w:rsidRPr="00D40A0B">
              <w:rPr>
                <w:sz w:val="28"/>
                <w:szCs w:val="28"/>
              </w:rPr>
              <w:t>月</w:t>
            </w:r>
            <w:r>
              <w:rPr>
                <w:rFonts w:hint="eastAsia"/>
                <w:sz w:val="28"/>
                <w:szCs w:val="28"/>
              </w:rPr>
              <w:t>3</w:t>
            </w:r>
            <w:r w:rsidRPr="00D40A0B">
              <w:rPr>
                <w:sz w:val="28"/>
                <w:szCs w:val="28"/>
              </w:rPr>
              <w:t>日印发</w:t>
            </w:r>
          </w:p>
        </w:tc>
      </w:tr>
    </w:tbl>
    <w:p w:rsidR="004437EA" w:rsidRDefault="004437EA"/>
    <w:sectPr w:rsidR="004437EA" w:rsidSect="004C034A">
      <w:headerReference w:type="even" r:id="rId5"/>
      <w:headerReference w:type="default" r:id="rId6"/>
      <w:footerReference w:type="even" r:id="rId7"/>
      <w:footerReference w:type="default" r:id="rId8"/>
      <w:headerReference w:type="first" r:id="rId9"/>
      <w:footerReference w:type="first" r:id="rId10"/>
      <w:pgSz w:w="11907" w:h="16840" w:code="9"/>
      <w:pgMar w:top="2098" w:right="1531" w:bottom="1985" w:left="1531" w:header="851" w:footer="1588" w:gutter="0"/>
      <w:cols w:space="72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仿宋_GBK">
    <w:altName w:val="黑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0B" w:rsidRDefault="00347A6B" w:rsidP="0076022A">
    <w:pPr>
      <w:pStyle w:val="a4"/>
      <w:framePr w:wrap="around" w:vAnchor="text" w:hAnchor="margin" w:xAlign="center" w:y="1"/>
      <w:rPr>
        <w:rStyle w:val="a3"/>
      </w:rPr>
    </w:pPr>
    <w:r>
      <w:fldChar w:fldCharType="begin"/>
    </w:r>
    <w:r>
      <w:rPr>
        <w:rStyle w:val="a3"/>
      </w:rPr>
      <w:instrText xml:space="preserve">PAGE  </w:instrText>
    </w:r>
    <w:r>
      <w:fldChar w:fldCharType="separate"/>
    </w:r>
    <w:r>
      <w:fldChar w:fldCharType="end"/>
    </w:r>
  </w:p>
  <w:p w:rsidR="00D40A0B" w:rsidRDefault="00347A6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0B" w:rsidRPr="0076022A" w:rsidRDefault="00347A6B" w:rsidP="00541E32">
    <w:pPr>
      <w:pStyle w:val="a4"/>
      <w:framePr w:wrap="around" w:vAnchor="text" w:hAnchor="margin" w:xAlign="center" w:y="1"/>
      <w:rPr>
        <w:rStyle w:val="a3"/>
        <w:rFonts w:hint="eastAsia"/>
        <w:sz w:val="28"/>
        <w:szCs w:val="28"/>
      </w:rPr>
    </w:pPr>
    <w:r>
      <w:rPr>
        <w:rStyle w:val="a3"/>
        <w:rFonts w:hint="eastAsia"/>
        <w:sz w:val="28"/>
        <w:szCs w:val="28"/>
      </w:rPr>
      <w:t>—</w:t>
    </w:r>
    <w:r>
      <w:rPr>
        <w:rStyle w:val="a3"/>
        <w:rFonts w:hint="eastAsia"/>
        <w:sz w:val="28"/>
        <w:szCs w:val="28"/>
      </w:rPr>
      <w:t xml:space="preserve"> </w:t>
    </w:r>
    <w:r w:rsidRPr="0076022A">
      <w:rPr>
        <w:rStyle w:val="a3"/>
        <w:sz w:val="28"/>
        <w:szCs w:val="28"/>
      </w:rPr>
      <w:fldChar w:fldCharType="begin"/>
    </w:r>
    <w:r w:rsidRPr="0076022A">
      <w:rPr>
        <w:rStyle w:val="a3"/>
        <w:sz w:val="28"/>
        <w:szCs w:val="28"/>
      </w:rPr>
      <w:instrText xml:space="preserve">PAGE  </w:instrText>
    </w:r>
    <w:r w:rsidRPr="0076022A">
      <w:rPr>
        <w:rStyle w:val="a3"/>
        <w:sz w:val="28"/>
        <w:szCs w:val="28"/>
      </w:rPr>
      <w:fldChar w:fldCharType="separate"/>
    </w:r>
    <w:r>
      <w:rPr>
        <w:rStyle w:val="a3"/>
        <w:noProof/>
        <w:sz w:val="28"/>
        <w:szCs w:val="28"/>
      </w:rPr>
      <w:t>1</w:t>
    </w:r>
    <w:r w:rsidRPr="0076022A">
      <w:rPr>
        <w:rStyle w:val="a3"/>
        <w:sz w:val="28"/>
        <w:szCs w:val="28"/>
      </w:rPr>
      <w:fldChar w:fldCharType="end"/>
    </w:r>
    <w:r>
      <w:rPr>
        <w:rStyle w:val="a3"/>
        <w:rFonts w:hint="eastAsia"/>
        <w:sz w:val="28"/>
        <w:szCs w:val="28"/>
      </w:rPr>
      <w:t xml:space="preserve"> </w:t>
    </w:r>
    <w:r>
      <w:rPr>
        <w:rStyle w:val="a3"/>
        <w:rFonts w:hint="eastAsia"/>
        <w:sz w:val="28"/>
        <w:szCs w:val="28"/>
      </w:rPr>
      <w:t>—</w:t>
    </w:r>
  </w:p>
  <w:p w:rsidR="00D40A0B" w:rsidRDefault="00347A6B" w:rsidP="0076022A">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0B" w:rsidRDefault="00347A6B">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0B" w:rsidRDefault="00347A6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0B" w:rsidRDefault="00347A6B" w:rsidP="00DE32F5">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0B" w:rsidRDefault="00347A6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A6B"/>
    <w:rsid w:val="00347A6B"/>
    <w:rsid w:val="00443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A6B"/>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7A6B"/>
  </w:style>
  <w:style w:type="paragraph" w:styleId="a4">
    <w:name w:val="footer"/>
    <w:basedOn w:val="a"/>
    <w:link w:val="Char"/>
    <w:rsid w:val="00347A6B"/>
    <w:pPr>
      <w:tabs>
        <w:tab w:val="center" w:pos="4153"/>
        <w:tab w:val="right" w:pos="8306"/>
      </w:tabs>
      <w:snapToGrid w:val="0"/>
      <w:jc w:val="left"/>
    </w:pPr>
    <w:rPr>
      <w:sz w:val="18"/>
    </w:rPr>
  </w:style>
  <w:style w:type="character" w:customStyle="1" w:styleId="Char">
    <w:name w:val="页脚 Char"/>
    <w:basedOn w:val="a0"/>
    <w:link w:val="a4"/>
    <w:rsid w:val="00347A6B"/>
    <w:rPr>
      <w:rFonts w:ascii="Times New Roman" w:eastAsia="仿宋_GB2312" w:hAnsi="Times New Roman" w:cs="Times New Roman"/>
      <w:sz w:val="18"/>
      <w:szCs w:val="20"/>
    </w:rPr>
  </w:style>
  <w:style w:type="paragraph" w:styleId="a5">
    <w:name w:val="header"/>
    <w:basedOn w:val="a"/>
    <w:link w:val="Char0"/>
    <w:rsid w:val="00347A6B"/>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5"/>
    <w:rsid w:val="00347A6B"/>
    <w:rPr>
      <w:rFonts w:ascii="Times New Roman" w:eastAsia="仿宋_GB2312" w:hAnsi="Times New Roman" w:cs="Times New Roman"/>
      <w:sz w:val="18"/>
      <w:szCs w:val="20"/>
    </w:rPr>
  </w:style>
  <w:style w:type="paragraph" w:styleId="a6">
    <w:name w:val="Normal Indent"/>
    <w:basedOn w:val="a"/>
    <w:rsid w:val="00347A6B"/>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A6B"/>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7A6B"/>
  </w:style>
  <w:style w:type="paragraph" w:styleId="a4">
    <w:name w:val="footer"/>
    <w:basedOn w:val="a"/>
    <w:link w:val="Char"/>
    <w:rsid w:val="00347A6B"/>
    <w:pPr>
      <w:tabs>
        <w:tab w:val="center" w:pos="4153"/>
        <w:tab w:val="right" w:pos="8306"/>
      </w:tabs>
      <w:snapToGrid w:val="0"/>
      <w:jc w:val="left"/>
    </w:pPr>
    <w:rPr>
      <w:sz w:val="18"/>
    </w:rPr>
  </w:style>
  <w:style w:type="character" w:customStyle="1" w:styleId="Char">
    <w:name w:val="页脚 Char"/>
    <w:basedOn w:val="a0"/>
    <w:link w:val="a4"/>
    <w:rsid w:val="00347A6B"/>
    <w:rPr>
      <w:rFonts w:ascii="Times New Roman" w:eastAsia="仿宋_GB2312" w:hAnsi="Times New Roman" w:cs="Times New Roman"/>
      <w:sz w:val="18"/>
      <w:szCs w:val="20"/>
    </w:rPr>
  </w:style>
  <w:style w:type="paragraph" w:styleId="a5">
    <w:name w:val="header"/>
    <w:basedOn w:val="a"/>
    <w:link w:val="Char0"/>
    <w:rsid w:val="00347A6B"/>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5"/>
    <w:rsid w:val="00347A6B"/>
    <w:rPr>
      <w:rFonts w:ascii="Times New Roman" w:eastAsia="仿宋_GB2312" w:hAnsi="Times New Roman" w:cs="Times New Roman"/>
      <w:sz w:val="18"/>
      <w:szCs w:val="20"/>
    </w:rPr>
  </w:style>
  <w:style w:type="paragraph" w:styleId="a6">
    <w:name w:val="Normal Indent"/>
    <w:basedOn w:val="a"/>
    <w:rsid w:val="00347A6B"/>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王敏</dc:creator>
  <cp:lastModifiedBy>王敏</cp:lastModifiedBy>
  <cp:revision>1</cp:revision>
  <dcterms:created xsi:type="dcterms:W3CDTF">2019-05-05T07:44:00Z</dcterms:created>
  <dcterms:modified xsi:type="dcterms:W3CDTF">2019-05-05T07:44:00Z</dcterms:modified>
</cp:coreProperties>
</file>