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55" w:rsidRDefault="00331055">
      <w:pPr>
        <w:spacing w:line="560" w:lineRule="exact"/>
        <w:rPr>
          <w:rFonts w:ascii="方正小标宋简体" w:eastAsia="方正小标宋简体"/>
          <w:color w:val="FF0000"/>
          <w:w w:val="87"/>
          <w:szCs w:val="32"/>
        </w:rPr>
      </w:pPr>
      <w:bookmarkStart w:id="0" w:name="_GoBack"/>
      <w:bookmarkEnd w:id="0"/>
    </w:p>
    <w:p w:rsidR="00331055" w:rsidRDefault="00331055">
      <w:pPr>
        <w:spacing w:line="560" w:lineRule="exact"/>
        <w:rPr>
          <w:rFonts w:ascii="方正小标宋简体" w:eastAsia="方正小标宋简体"/>
          <w:color w:val="FF0000"/>
          <w:w w:val="87"/>
          <w:szCs w:val="32"/>
        </w:rPr>
      </w:pPr>
    </w:p>
    <w:p w:rsidR="00331055" w:rsidRPr="00574A15" w:rsidRDefault="009447D8">
      <w:pPr>
        <w:spacing w:line="1640" w:lineRule="exact"/>
        <w:jc w:val="center"/>
        <w:rPr>
          <w:rFonts w:ascii="??????" w:eastAsia="Times New Roman"/>
          <w:color w:val="FF0000"/>
          <w:sz w:val="120"/>
          <w:szCs w:val="120"/>
        </w:rPr>
      </w:pPr>
      <w:r w:rsidRPr="00574A15">
        <w:rPr>
          <w:rFonts w:ascii="宋体" w:hAnsi="宋体" w:cs="宋体" w:hint="eastAsia"/>
          <w:color w:val="FF0000"/>
          <w:sz w:val="120"/>
          <w:szCs w:val="120"/>
        </w:rPr>
        <w:t>教</w:t>
      </w:r>
      <w:r w:rsidRPr="00574A15">
        <w:rPr>
          <w:rFonts w:ascii="??????" w:eastAsia="Times New Roman" w:hint="eastAsia"/>
          <w:color w:val="FF0000"/>
          <w:sz w:val="120"/>
          <w:szCs w:val="120"/>
        </w:rPr>
        <w:t xml:space="preserve"> </w:t>
      </w:r>
      <w:r w:rsidRPr="00574A15">
        <w:rPr>
          <w:rFonts w:ascii="宋体" w:hAnsi="宋体" w:cs="宋体" w:hint="eastAsia"/>
          <w:color w:val="FF0000"/>
          <w:sz w:val="120"/>
          <w:szCs w:val="120"/>
        </w:rPr>
        <w:t>学</w:t>
      </w:r>
      <w:r w:rsidRPr="00574A15">
        <w:rPr>
          <w:rFonts w:ascii="??????" w:eastAsia="Times New Roman" w:hint="eastAsia"/>
          <w:color w:val="FF0000"/>
          <w:sz w:val="120"/>
          <w:szCs w:val="120"/>
        </w:rPr>
        <w:t xml:space="preserve"> </w:t>
      </w:r>
      <w:r w:rsidRPr="00574A15">
        <w:rPr>
          <w:rFonts w:ascii="宋体" w:hAnsi="宋体" w:cs="宋体" w:hint="eastAsia"/>
          <w:color w:val="FF0000"/>
          <w:sz w:val="120"/>
          <w:szCs w:val="120"/>
        </w:rPr>
        <w:t>通</w:t>
      </w:r>
      <w:r w:rsidRPr="00574A15">
        <w:rPr>
          <w:rFonts w:ascii="??????" w:eastAsia="Times New Roman" w:hint="eastAsia"/>
          <w:color w:val="FF0000"/>
          <w:sz w:val="120"/>
          <w:szCs w:val="120"/>
        </w:rPr>
        <w:t xml:space="preserve"> </w:t>
      </w:r>
      <w:r w:rsidRPr="00574A15">
        <w:rPr>
          <w:rFonts w:ascii="宋体" w:hAnsi="宋体" w:cs="宋体" w:hint="eastAsia"/>
          <w:color w:val="FF0000"/>
          <w:sz w:val="120"/>
          <w:szCs w:val="120"/>
        </w:rPr>
        <w:t>报</w:t>
      </w:r>
    </w:p>
    <w:p w:rsidR="00331055" w:rsidRDefault="00331055">
      <w:pPr>
        <w:adjustRightInd w:val="0"/>
        <w:snapToGrid w:val="0"/>
        <w:spacing w:line="420" w:lineRule="exact"/>
        <w:jc w:val="center"/>
        <w:outlineLvl w:val="0"/>
        <w:rPr>
          <w:rFonts w:ascii="仿宋_GB2312"/>
        </w:rPr>
      </w:pPr>
    </w:p>
    <w:p w:rsidR="00331055" w:rsidRDefault="009447D8">
      <w:pPr>
        <w:adjustRightInd w:val="0"/>
        <w:snapToGrid w:val="0"/>
        <w:spacing w:line="420" w:lineRule="exact"/>
        <w:jc w:val="center"/>
        <w:outlineLvl w:val="0"/>
        <w:rPr>
          <w:rFonts w:ascii="仿宋_GB2312"/>
        </w:rPr>
      </w:pPr>
      <w:r>
        <w:rPr>
          <w:rFonts w:ascii="仿宋_GB2312" w:eastAsia="仿宋_GB2312" w:hint="eastAsia"/>
          <w:sz w:val="32"/>
          <w:szCs w:val="20"/>
        </w:rPr>
        <w:t>2016年第</w:t>
      </w:r>
      <w:r w:rsidR="00547EBC">
        <w:rPr>
          <w:rFonts w:ascii="仿宋_GB2312" w:eastAsia="仿宋_GB2312"/>
          <w:sz w:val="32"/>
          <w:szCs w:val="20"/>
        </w:rPr>
        <w:t>8</w:t>
      </w:r>
      <w:r>
        <w:rPr>
          <w:rFonts w:ascii="仿宋_GB2312" w:eastAsia="仿宋_GB2312" w:hint="eastAsia"/>
          <w:sz w:val="32"/>
          <w:szCs w:val="20"/>
        </w:rPr>
        <w:t>期（总第</w:t>
      </w:r>
      <w:r w:rsidR="00574A15">
        <w:rPr>
          <w:rFonts w:ascii="仿宋_GB2312" w:eastAsia="仿宋_GB2312" w:hint="eastAsia"/>
          <w:sz w:val="32"/>
          <w:szCs w:val="20"/>
        </w:rPr>
        <w:t>2</w:t>
      </w:r>
      <w:r w:rsidR="00547EBC">
        <w:rPr>
          <w:rFonts w:ascii="仿宋_GB2312" w:eastAsia="仿宋_GB2312"/>
          <w:sz w:val="32"/>
          <w:szCs w:val="20"/>
        </w:rPr>
        <w:t>6</w:t>
      </w:r>
      <w:r>
        <w:rPr>
          <w:rFonts w:ascii="仿宋_GB2312" w:eastAsia="仿宋_GB2312" w:hint="eastAsia"/>
          <w:sz w:val="32"/>
          <w:szCs w:val="20"/>
        </w:rPr>
        <w:t>期）</w:t>
      </w:r>
    </w:p>
    <w:p w:rsidR="00331055" w:rsidRDefault="00331055">
      <w:pPr>
        <w:adjustRightInd w:val="0"/>
        <w:snapToGrid w:val="0"/>
        <w:spacing w:line="420" w:lineRule="exact"/>
        <w:jc w:val="center"/>
        <w:outlineLvl w:val="0"/>
        <w:rPr>
          <w:rFonts w:ascii="仿宋_GB2312"/>
        </w:rPr>
      </w:pPr>
    </w:p>
    <w:p w:rsidR="00331055" w:rsidRDefault="009447D8">
      <w:pPr>
        <w:adjustRightInd w:val="0"/>
        <w:snapToGrid w:val="0"/>
        <w:spacing w:line="420" w:lineRule="exact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  <w:sz w:val="32"/>
          <w:szCs w:val="20"/>
        </w:rPr>
        <w:t>山东青年政治学院教务处              2016年</w:t>
      </w:r>
      <w:r w:rsidR="00574A15">
        <w:rPr>
          <w:rFonts w:ascii="仿宋" w:eastAsia="仿宋" w:hAnsi="仿宋" w:hint="eastAsia"/>
          <w:sz w:val="32"/>
          <w:szCs w:val="20"/>
        </w:rPr>
        <w:t>6</w:t>
      </w:r>
      <w:r>
        <w:rPr>
          <w:rFonts w:ascii="仿宋" w:eastAsia="仿宋" w:hAnsi="仿宋" w:hint="eastAsia"/>
          <w:sz w:val="32"/>
          <w:szCs w:val="20"/>
        </w:rPr>
        <w:t>月</w:t>
      </w:r>
      <w:r w:rsidR="00547EBC">
        <w:rPr>
          <w:rFonts w:ascii="仿宋" w:eastAsia="仿宋" w:hAnsi="仿宋"/>
          <w:sz w:val="32"/>
          <w:szCs w:val="20"/>
        </w:rPr>
        <w:t>29</w:t>
      </w:r>
      <w:r>
        <w:rPr>
          <w:rFonts w:ascii="仿宋" w:eastAsia="仿宋" w:hAnsi="仿宋" w:hint="eastAsia"/>
          <w:sz w:val="32"/>
          <w:szCs w:val="20"/>
        </w:rPr>
        <w:t>日</w:t>
      </w:r>
    </w:p>
    <w:p w:rsidR="00331055" w:rsidRDefault="00697F10">
      <w:pPr>
        <w:outlineLvl w:val="0"/>
        <w:rPr>
          <w:color w:val="FF000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165100</wp:posOffset>
                </wp:positionV>
                <wp:extent cx="5615940" cy="635"/>
                <wp:effectExtent l="12700" t="12700" r="10160" b="15240"/>
                <wp:wrapNone/>
                <wp:docPr id="6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pt" to="442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" strokecolor="red" strokeweight="1.5pt"/>
            </w:pict>
          </mc:Fallback>
        </mc:AlternateContent>
      </w:r>
    </w:p>
    <w:p w:rsidR="00331055" w:rsidRDefault="00331055">
      <w:pPr>
        <w:spacing w:line="500" w:lineRule="exact"/>
        <w:ind w:leftChars="-6" w:left="-13" w:firstLineChars="6" w:firstLine="26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331055" w:rsidRDefault="00331055">
      <w:pPr>
        <w:spacing w:line="500" w:lineRule="exact"/>
        <w:ind w:leftChars="-6" w:left="-13" w:firstLineChars="6" w:firstLine="26"/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:rsidR="00331055" w:rsidRDefault="009447D8">
      <w:pPr>
        <w:spacing w:line="500" w:lineRule="exact"/>
        <w:ind w:leftChars="-6" w:left="-13" w:firstLineChars="6" w:firstLine="26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目  录</w:t>
      </w:r>
    </w:p>
    <w:p w:rsidR="00331055" w:rsidRDefault="00331055">
      <w:pPr>
        <w:adjustRightInd w:val="0"/>
        <w:snapToGrid w:val="0"/>
        <w:spacing w:line="500" w:lineRule="exact"/>
        <w:outlineLvl w:val="0"/>
      </w:pPr>
    </w:p>
    <w:p w:rsidR="00331055" w:rsidRDefault="00547EBC">
      <w:pPr>
        <w:spacing w:line="520" w:lineRule="exact"/>
        <w:rPr>
          <w:rFonts w:ascii="仿宋_GB2312" w:eastAsia="仿宋_GB2312" w:hAnsi="Times New Roman"/>
          <w:sz w:val="28"/>
          <w:szCs w:val="20"/>
        </w:rPr>
      </w:pPr>
      <w:r w:rsidRPr="00547EBC">
        <w:rPr>
          <w:rFonts w:ascii="仿宋_GB2312" w:eastAsia="仿宋_GB2312" w:hAnsi="Times New Roman" w:hint="eastAsia"/>
          <w:sz w:val="28"/>
          <w:szCs w:val="20"/>
        </w:rPr>
        <w:t>2015-2016学年第二学期第十三至第十六教学周调停课情况</w:t>
      </w:r>
      <w:r w:rsidR="009447D8">
        <w:rPr>
          <w:rFonts w:ascii="仿宋_GB2312" w:eastAsia="仿宋_GB2312" w:hAnsi="Times New Roman" w:hint="eastAsia"/>
          <w:sz w:val="28"/>
          <w:szCs w:val="20"/>
        </w:rPr>
        <w:t>……（1）</w:t>
      </w:r>
    </w:p>
    <w:p w:rsidR="00E362B8" w:rsidRDefault="00E362B8" w:rsidP="00E362B8">
      <w:pPr>
        <w:spacing w:line="520" w:lineRule="exact"/>
        <w:rPr>
          <w:rFonts w:ascii="仿宋_GB2312" w:eastAsia="仿宋_GB2312" w:hAnsi="Times New Roman"/>
          <w:sz w:val="28"/>
          <w:szCs w:val="20"/>
        </w:rPr>
      </w:pPr>
      <w:r w:rsidRPr="00E362B8">
        <w:rPr>
          <w:rFonts w:ascii="仿宋_GB2312" w:eastAsia="仿宋_GB2312" w:hAnsi="Times New Roman" w:hint="eastAsia"/>
          <w:sz w:val="28"/>
          <w:szCs w:val="20"/>
        </w:rPr>
        <w:t>2016届本科生毕业论文（设计）学术不端检测情况………………（</w:t>
      </w:r>
      <w:r>
        <w:rPr>
          <w:rFonts w:ascii="仿宋_GB2312" w:eastAsia="仿宋_GB2312" w:hAnsi="Times New Roman" w:hint="eastAsia"/>
          <w:sz w:val="28"/>
          <w:szCs w:val="20"/>
        </w:rPr>
        <w:t>5</w:t>
      </w:r>
      <w:r w:rsidRPr="00E362B8">
        <w:rPr>
          <w:rFonts w:ascii="仿宋_GB2312" w:eastAsia="仿宋_GB2312" w:hAnsi="Times New Roman" w:hint="eastAsia"/>
          <w:sz w:val="28"/>
          <w:szCs w:val="20"/>
        </w:rPr>
        <w:t>）</w:t>
      </w:r>
    </w:p>
    <w:p w:rsidR="008F6CBE" w:rsidRDefault="008F6CBE">
      <w:pPr>
        <w:spacing w:line="520" w:lineRule="exact"/>
        <w:rPr>
          <w:rFonts w:ascii="仿宋_GB2312" w:eastAsia="仿宋_GB2312" w:hAnsi="Times New Roman"/>
          <w:sz w:val="28"/>
          <w:szCs w:val="20"/>
        </w:rPr>
      </w:pPr>
      <w:r w:rsidRPr="008F6CBE">
        <w:rPr>
          <w:rFonts w:ascii="仿宋_GB2312" w:eastAsia="仿宋_GB2312" w:hAnsi="Times New Roman" w:hint="eastAsia"/>
          <w:sz w:val="28"/>
          <w:szCs w:val="20"/>
        </w:rPr>
        <w:t>2013级专科学生专升本情况</w:t>
      </w:r>
      <w:r>
        <w:rPr>
          <w:rFonts w:ascii="仿宋_GB2312" w:eastAsia="仿宋_GB2312" w:hAnsi="Times New Roman" w:hint="eastAsia"/>
          <w:sz w:val="28"/>
          <w:szCs w:val="20"/>
        </w:rPr>
        <w:t>…………………………………………（</w:t>
      </w:r>
      <w:r w:rsidR="00E362B8">
        <w:rPr>
          <w:rFonts w:ascii="仿宋_GB2312" w:eastAsia="仿宋_GB2312" w:hAnsi="Times New Roman" w:hint="eastAsia"/>
          <w:sz w:val="28"/>
          <w:szCs w:val="20"/>
        </w:rPr>
        <w:t>7</w:t>
      </w:r>
      <w:r>
        <w:rPr>
          <w:rFonts w:ascii="仿宋_GB2312" w:eastAsia="仿宋_GB2312" w:hAnsi="Times New Roman" w:hint="eastAsia"/>
          <w:sz w:val="28"/>
          <w:szCs w:val="20"/>
        </w:rPr>
        <w:t>）</w:t>
      </w:r>
    </w:p>
    <w:p w:rsidR="00331055" w:rsidRDefault="00331055">
      <w:pPr>
        <w:spacing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31055" w:rsidRDefault="00331055">
      <w:pPr>
        <w:spacing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331055" w:rsidRDefault="00331055">
      <w:pPr>
        <w:spacing w:line="760" w:lineRule="exact"/>
        <w:jc w:val="center"/>
        <w:sectPr w:rsidR="00331055">
          <w:headerReference w:type="even" r:id="rId9"/>
          <w:headerReference w:type="default" r:id="rId10"/>
          <w:footerReference w:type="default" r:id="rId11"/>
          <w:pgSz w:w="11906" w:h="16838"/>
          <w:pgMar w:top="1440" w:right="1797" w:bottom="1440" w:left="1797" w:header="851" w:footer="992" w:gutter="0"/>
          <w:pgNumType w:start="0"/>
          <w:cols w:space="425"/>
          <w:docGrid w:linePitch="312"/>
        </w:sectPr>
      </w:pPr>
    </w:p>
    <w:p w:rsidR="00547EBC" w:rsidRDefault="00547EBC" w:rsidP="00547EBC">
      <w:pPr>
        <w:spacing w:line="7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lastRenderedPageBreak/>
        <w:t>2015-2016</w:t>
      </w:r>
      <w:r>
        <w:rPr>
          <w:rFonts w:ascii="方正小标宋简体" w:eastAsia="方正小标宋简体" w:hAnsi="宋体" w:hint="eastAsia"/>
          <w:sz w:val="44"/>
          <w:szCs w:val="44"/>
        </w:rPr>
        <w:t>学年第二学期</w:t>
      </w:r>
    </w:p>
    <w:p w:rsidR="00547EBC" w:rsidRDefault="00547EBC" w:rsidP="00547EBC">
      <w:pPr>
        <w:spacing w:line="760" w:lineRule="exact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第十三至第十六教学周调停课情况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根据调停课记录统计，本学期第十三至第十六教学周（</w:t>
      </w:r>
      <w:r>
        <w:rPr>
          <w:rFonts w:ascii="仿宋_GB2312" w:eastAsia="仿宋_GB2312" w:hAnsi="Times New Roman"/>
          <w:sz w:val="28"/>
          <w:szCs w:val="28"/>
        </w:rPr>
        <w:t>5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/>
          <w:sz w:val="28"/>
          <w:szCs w:val="28"/>
        </w:rPr>
        <w:t>23</w:t>
      </w:r>
      <w:r>
        <w:rPr>
          <w:rFonts w:ascii="仿宋_GB2312" w:eastAsia="仿宋_GB2312" w:hAnsi="Times New Roman" w:hint="eastAsia"/>
          <w:sz w:val="28"/>
          <w:szCs w:val="28"/>
        </w:rPr>
        <w:t>日至</w:t>
      </w:r>
      <w:r>
        <w:rPr>
          <w:rFonts w:ascii="仿宋_GB2312" w:eastAsia="仿宋_GB2312" w:hAnsi="Times New Roman"/>
          <w:sz w:val="28"/>
          <w:szCs w:val="28"/>
        </w:rPr>
        <w:t>6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/>
          <w:sz w:val="28"/>
          <w:szCs w:val="28"/>
        </w:rPr>
        <w:t>17</w:t>
      </w:r>
      <w:r>
        <w:rPr>
          <w:rFonts w:ascii="仿宋_GB2312" w:eastAsia="仿宋_GB2312" w:hAnsi="Times New Roman" w:hint="eastAsia"/>
          <w:sz w:val="28"/>
          <w:szCs w:val="28"/>
        </w:rPr>
        <w:t>日）各院（部）调停课情况通报如下：</w:t>
      </w:r>
    </w:p>
    <w:p w:rsidR="00547EBC" w:rsidRPr="00157791" w:rsidRDefault="00547EBC" w:rsidP="00547EB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57791">
        <w:rPr>
          <w:rFonts w:ascii="黑体" w:eastAsia="黑体" w:hAnsi="黑体" w:hint="eastAsia"/>
          <w:sz w:val="28"/>
          <w:szCs w:val="28"/>
        </w:rPr>
        <w:t>一、第</w:t>
      </w:r>
      <w:r>
        <w:rPr>
          <w:rFonts w:ascii="黑体" w:eastAsia="黑体" w:hAnsi="黑体" w:hint="eastAsia"/>
          <w:sz w:val="28"/>
          <w:szCs w:val="28"/>
        </w:rPr>
        <w:t>十三</w:t>
      </w:r>
      <w:r w:rsidRPr="00157791">
        <w:rPr>
          <w:rFonts w:ascii="黑体" w:eastAsia="黑体" w:hAnsi="黑体" w:hint="eastAsia"/>
          <w:sz w:val="28"/>
          <w:szCs w:val="28"/>
        </w:rPr>
        <w:t>至第</w:t>
      </w:r>
      <w:r>
        <w:rPr>
          <w:rFonts w:ascii="黑体" w:eastAsia="黑体" w:hAnsi="黑体" w:hint="eastAsia"/>
          <w:sz w:val="28"/>
          <w:szCs w:val="28"/>
        </w:rPr>
        <w:t>十六</w:t>
      </w:r>
      <w:r w:rsidRPr="00157791">
        <w:rPr>
          <w:rFonts w:ascii="黑体" w:eastAsia="黑体" w:hAnsi="黑体" w:hint="eastAsia"/>
          <w:sz w:val="28"/>
          <w:szCs w:val="28"/>
        </w:rPr>
        <w:t>教学周调停课总体情况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157791">
        <w:rPr>
          <w:rFonts w:ascii="仿宋_GB2312" w:eastAsia="仿宋_GB2312" w:hAnsi="Times New Roman" w:hint="eastAsia"/>
          <w:sz w:val="28"/>
          <w:szCs w:val="28"/>
        </w:rPr>
        <w:t>第十三至第十六教学周继续无</w:t>
      </w:r>
      <w:r w:rsidRPr="00157791">
        <w:rPr>
          <w:rFonts w:ascii="仿宋_GB2312" w:eastAsia="仿宋_GB2312" w:hAnsi="Times New Roman"/>
          <w:sz w:val="28"/>
          <w:szCs w:val="28"/>
        </w:rPr>
        <w:t>停课现象，</w:t>
      </w:r>
      <w:r w:rsidRPr="00157791">
        <w:rPr>
          <w:rFonts w:ascii="仿宋_GB2312" w:eastAsia="仿宋_GB2312" w:hAnsi="Times New Roman" w:hint="eastAsia"/>
          <w:sz w:val="28"/>
          <w:szCs w:val="28"/>
        </w:rPr>
        <w:t>全校调课人数22人，共23人次，调课人次与前四周相比</w:t>
      </w:r>
      <w:r w:rsidRPr="00157791">
        <w:rPr>
          <w:rFonts w:ascii="仿宋_GB2312" w:eastAsia="仿宋_GB2312" w:hAnsi="Times New Roman"/>
          <w:sz w:val="28"/>
          <w:szCs w:val="28"/>
        </w:rPr>
        <w:t>有</w:t>
      </w:r>
      <w:r>
        <w:rPr>
          <w:rFonts w:ascii="仿宋_GB2312" w:eastAsia="仿宋_GB2312" w:hAnsi="Times New Roman" w:hint="eastAsia"/>
          <w:sz w:val="28"/>
          <w:szCs w:val="28"/>
        </w:rPr>
        <w:t>大幅下降</w:t>
      </w:r>
      <w:r w:rsidRPr="00157791">
        <w:rPr>
          <w:rFonts w:ascii="仿宋_GB2312" w:eastAsia="仿宋_GB2312" w:hAnsi="Times New Roman"/>
          <w:sz w:val="28"/>
          <w:szCs w:val="28"/>
        </w:rPr>
        <w:t>，</w:t>
      </w:r>
      <w:r>
        <w:rPr>
          <w:rFonts w:ascii="仿宋_GB2312" w:eastAsia="仿宋_GB2312" w:hAnsi="Times New Roman" w:hint="eastAsia"/>
          <w:sz w:val="28"/>
          <w:szCs w:val="28"/>
        </w:rPr>
        <w:t>减少</w:t>
      </w:r>
      <w:r w:rsidRPr="00157791">
        <w:rPr>
          <w:rFonts w:ascii="仿宋_GB2312" w:eastAsia="仿宋_GB2312" w:hAnsi="Times New Roman" w:hint="eastAsia"/>
          <w:sz w:val="28"/>
          <w:szCs w:val="28"/>
        </w:rPr>
        <w:t>了</w:t>
      </w:r>
      <w:r>
        <w:rPr>
          <w:rFonts w:ascii="仿宋_GB2312" w:eastAsia="仿宋_GB2312" w:hAnsi="Times New Roman" w:hint="eastAsia"/>
          <w:sz w:val="28"/>
          <w:szCs w:val="28"/>
        </w:rPr>
        <w:t>33</w:t>
      </w:r>
      <w:r w:rsidRPr="00157791">
        <w:rPr>
          <w:rFonts w:ascii="仿宋_GB2312" w:eastAsia="仿宋_GB2312" w:hAnsi="Times New Roman" w:hint="eastAsia"/>
          <w:sz w:val="28"/>
          <w:szCs w:val="28"/>
        </w:rPr>
        <w:t>人次。本期全校代课人数</w:t>
      </w:r>
      <w:r>
        <w:rPr>
          <w:rFonts w:ascii="仿宋_GB2312" w:eastAsia="仿宋_GB2312" w:hAnsi="Times New Roman" w:hint="eastAsia"/>
          <w:sz w:val="28"/>
          <w:szCs w:val="28"/>
        </w:rPr>
        <w:t>9</w:t>
      </w:r>
      <w:r w:rsidRPr="00157791">
        <w:rPr>
          <w:rFonts w:ascii="仿宋_GB2312" w:eastAsia="仿宋_GB2312" w:hAnsi="Times New Roman" w:hint="eastAsia"/>
          <w:sz w:val="28"/>
          <w:szCs w:val="28"/>
        </w:rPr>
        <w:t>人，共</w:t>
      </w:r>
      <w:r>
        <w:rPr>
          <w:rFonts w:ascii="仿宋_GB2312" w:eastAsia="仿宋_GB2312" w:hAnsi="Times New Roman" w:hint="eastAsia"/>
          <w:sz w:val="28"/>
          <w:szCs w:val="28"/>
        </w:rPr>
        <w:t>9</w:t>
      </w:r>
      <w:r w:rsidRPr="00157791">
        <w:rPr>
          <w:rFonts w:ascii="仿宋_GB2312" w:eastAsia="仿宋_GB2312" w:hAnsi="Times New Roman" w:hint="eastAsia"/>
          <w:sz w:val="28"/>
          <w:szCs w:val="28"/>
        </w:rPr>
        <w:t>人次，代课人次与前四周相比大幅下降</w:t>
      </w:r>
      <w:r w:rsidRPr="00157791">
        <w:rPr>
          <w:rFonts w:ascii="仿宋_GB2312" w:eastAsia="仿宋_GB2312" w:hAnsi="Times New Roman"/>
          <w:sz w:val="28"/>
          <w:szCs w:val="28"/>
        </w:rPr>
        <w:t>，</w:t>
      </w:r>
      <w:r w:rsidRPr="00157791">
        <w:rPr>
          <w:rFonts w:ascii="仿宋_GB2312" w:eastAsia="仿宋_GB2312" w:hAnsi="Times New Roman" w:hint="eastAsia"/>
          <w:sz w:val="28"/>
          <w:szCs w:val="28"/>
        </w:rPr>
        <w:t>减少了</w:t>
      </w:r>
      <w:r>
        <w:rPr>
          <w:rFonts w:ascii="仿宋_GB2312" w:eastAsia="仿宋_GB2312" w:hAnsi="Times New Roman" w:hint="eastAsia"/>
          <w:sz w:val="28"/>
          <w:szCs w:val="28"/>
        </w:rPr>
        <w:t>10</w:t>
      </w:r>
      <w:r w:rsidRPr="00157791">
        <w:rPr>
          <w:rFonts w:ascii="仿宋_GB2312" w:eastAsia="仿宋_GB2312" w:hAnsi="Times New Roman" w:hint="eastAsia"/>
          <w:sz w:val="28"/>
          <w:szCs w:val="28"/>
        </w:rPr>
        <w:t>人次。</w:t>
      </w:r>
      <w:r w:rsidRPr="00B300C8">
        <w:rPr>
          <w:rFonts w:ascii="仿宋_GB2312" w:eastAsia="仿宋_GB2312" w:hAnsi="Times New Roman" w:hint="eastAsia"/>
          <w:sz w:val="28"/>
          <w:szCs w:val="28"/>
        </w:rPr>
        <w:t>其中，各院（部）承担教学任务的教师调课人数占调课</w:t>
      </w:r>
      <w:r w:rsidRPr="00B300C8">
        <w:rPr>
          <w:rFonts w:ascii="仿宋_GB2312" w:eastAsia="仿宋_GB2312" w:hAnsi="Times New Roman"/>
          <w:sz w:val="28"/>
          <w:szCs w:val="28"/>
        </w:rPr>
        <w:t>总人数比例为</w:t>
      </w:r>
      <w:r w:rsidRPr="00B300C8">
        <w:rPr>
          <w:rFonts w:ascii="仿宋_GB2312" w:eastAsia="仿宋_GB2312" w:hAnsi="Times New Roman" w:hint="eastAsia"/>
          <w:sz w:val="28"/>
          <w:szCs w:val="28"/>
        </w:rPr>
        <w:t>95.45</w:t>
      </w:r>
      <w:r w:rsidRPr="00B300C8">
        <w:rPr>
          <w:rFonts w:ascii="仿宋_GB2312" w:eastAsia="仿宋_GB2312" w:hAnsi="Times New Roman"/>
          <w:sz w:val="28"/>
          <w:szCs w:val="28"/>
        </w:rPr>
        <w:t>%</w:t>
      </w:r>
      <w:r w:rsidRPr="00157791">
        <w:rPr>
          <w:rFonts w:ascii="仿宋_GB2312" w:eastAsia="仿宋_GB2312" w:hAnsi="Times New Roman"/>
          <w:sz w:val="28"/>
          <w:szCs w:val="28"/>
        </w:rPr>
        <w:t>，占</w:t>
      </w:r>
      <w:r w:rsidRPr="00157791">
        <w:rPr>
          <w:rFonts w:ascii="仿宋_GB2312" w:eastAsia="仿宋_GB2312" w:hAnsi="Times New Roman" w:hint="eastAsia"/>
          <w:sz w:val="28"/>
          <w:szCs w:val="28"/>
        </w:rPr>
        <w:t>承担教学任务教师总数比例为</w:t>
      </w:r>
      <w:r>
        <w:rPr>
          <w:rFonts w:ascii="仿宋_GB2312" w:eastAsia="仿宋_GB2312" w:hAnsi="Times New Roman" w:hint="eastAsia"/>
          <w:sz w:val="28"/>
          <w:szCs w:val="28"/>
        </w:rPr>
        <w:t>5.98</w:t>
      </w:r>
      <w:r w:rsidRPr="00157791">
        <w:rPr>
          <w:rFonts w:ascii="仿宋_GB2312" w:eastAsia="仿宋_GB2312" w:hAnsi="Times New Roman"/>
          <w:sz w:val="28"/>
          <w:szCs w:val="28"/>
        </w:rPr>
        <w:t>%</w:t>
      </w:r>
      <w:r w:rsidRPr="00157791">
        <w:rPr>
          <w:rFonts w:ascii="仿宋_GB2312" w:eastAsia="仿宋_GB2312" w:hAnsi="Times New Roman" w:hint="eastAsia"/>
          <w:sz w:val="28"/>
          <w:szCs w:val="28"/>
        </w:rPr>
        <w:t>；</w:t>
      </w:r>
      <w:r w:rsidRPr="00B300C8">
        <w:rPr>
          <w:rFonts w:ascii="仿宋_GB2312" w:eastAsia="仿宋_GB2312" w:hAnsi="Times New Roman" w:hint="eastAsia"/>
          <w:sz w:val="28"/>
          <w:szCs w:val="28"/>
        </w:rPr>
        <w:t>外聘教师调课人数占调课</w:t>
      </w:r>
      <w:r w:rsidRPr="00B300C8">
        <w:rPr>
          <w:rFonts w:ascii="仿宋_GB2312" w:eastAsia="仿宋_GB2312" w:hAnsi="Times New Roman"/>
          <w:sz w:val="28"/>
          <w:szCs w:val="28"/>
        </w:rPr>
        <w:t>总人数比例为</w:t>
      </w:r>
      <w:r w:rsidRPr="00B300C8">
        <w:rPr>
          <w:rFonts w:ascii="仿宋_GB2312" w:eastAsia="仿宋_GB2312" w:hAnsi="Times New Roman" w:hint="eastAsia"/>
          <w:sz w:val="28"/>
          <w:szCs w:val="28"/>
        </w:rPr>
        <w:t>4.55</w:t>
      </w:r>
      <w:r w:rsidRPr="00B300C8">
        <w:rPr>
          <w:rFonts w:ascii="仿宋_GB2312" w:eastAsia="仿宋_GB2312" w:hAnsi="Times New Roman"/>
          <w:sz w:val="28"/>
          <w:szCs w:val="28"/>
        </w:rPr>
        <w:t>%，占</w:t>
      </w:r>
      <w:r w:rsidRPr="00B300C8">
        <w:rPr>
          <w:rFonts w:ascii="仿宋_GB2312" w:eastAsia="仿宋_GB2312" w:hAnsi="Times New Roman" w:hint="eastAsia"/>
          <w:sz w:val="28"/>
          <w:szCs w:val="28"/>
        </w:rPr>
        <w:t>承担教学任务教师总数比例为1.35</w:t>
      </w:r>
      <w:r w:rsidRPr="00B300C8">
        <w:rPr>
          <w:rFonts w:ascii="仿宋_GB2312" w:eastAsia="仿宋_GB2312" w:hAnsi="Times New Roman"/>
          <w:sz w:val="28"/>
          <w:szCs w:val="28"/>
        </w:rPr>
        <w:t>%</w:t>
      </w:r>
      <w:r w:rsidRPr="00B300C8">
        <w:rPr>
          <w:rFonts w:ascii="仿宋_GB2312" w:eastAsia="仿宋_GB2312" w:hAnsi="Times New Roman" w:hint="eastAsia"/>
          <w:sz w:val="28"/>
          <w:szCs w:val="28"/>
        </w:rPr>
        <w:t>。各院（部）调停代课情况见附件1。</w:t>
      </w:r>
    </w:p>
    <w:p w:rsidR="00547EBC" w:rsidRPr="00B300C8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547EBC" w:rsidRDefault="00697F10" w:rsidP="00547EBC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68825" cy="2740025"/>
            <wp:effectExtent l="0" t="0" r="22225" b="2222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47EBC" w:rsidRDefault="00547EBC" w:rsidP="00547EBC">
      <w:pPr>
        <w:spacing w:beforeLines="50" w:before="120"/>
        <w:jc w:val="center"/>
        <w:rPr>
          <w:rFonts w:ascii="仿宋_GB2312" w:eastAsia="仿宋_GB2312" w:hAnsi="Times New Roman"/>
          <w:bCs/>
          <w:sz w:val="24"/>
          <w:szCs w:val="28"/>
        </w:rPr>
      </w:pPr>
      <w:r>
        <w:rPr>
          <w:rFonts w:ascii="仿宋_GB2312" w:eastAsia="仿宋_GB2312" w:hAnsi="Times New Roman" w:hint="eastAsia"/>
          <w:bCs/>
          <w:sz w:val="24"/>
          <w:szCs w:val="28"/>
        </w:rPr>
        <w:t>图1 前四周</w:t>
      </w:r>
      <w:r>
        <w:rPr>
          <w:rFonts w:ascii="仿宋_GB2312" w:eastAsia="仿宋_GB2312" w:hAnsi="Times New Roman"/>
          <w:bCs/>
          <w:sz w:val="24"/>
          <w:szCs w:val="28"/>
        </w:rPr>
        <w:t>与</w:t>
      </w:r>
      <w:r>
        <w:rPr>
          <w:rFonts w:ascii="仿宋_GB2312" w:eastAsia="仿宋_GB2312" w:hAnsi="Times New Roman" w:hint="eastAsia"/>
          <w:bCs/>
          <w:sz w:val="24"/>
          <w:szCs w:val="28"/>
        </w:rPr>
        <w:t>近四周</w:t>
      </w:r>
      <w:r>
        <w:rPr>
          <w:rFonts w:ascii="仿宋_GB2312" w:eastAsia="仿宋_GB2312" w:hAnsi="Times New Roman"/>
          <w:bCs/>
          <w:sz w:val="24"/>
          <w:szCs w:val="28"/>
        </w:rPr>
        <w:t>调停</w:t>
      </w:r>
      <w:r>
        <w:rPr>
          <w:rFonts w:ascii="仿宋_GB2312" w:eastAsia="仿宋_GB2312" w:hAnsi="Times New Roman" w:hint="eastAsia"/>
          <w:bCs/>
          <w:sz w:val="24"/>
          <w:szCs w:val="28"/>
        </w:rPr>
        <w:t>代</w:t>
      </w:r>
      <w:r>
        <w:rPr>
          <w:rFonts w:ascii="仿宋_GB2312" w:eastAsia="仿宋_GB2312" w:hAnsi="Times New Roman"/>
          <w:bCs/>
          <w:sz w:val="24"/>
          <w:szCs w:val="28"/>
        </w:rPr>
        <w:t>课人次情况对比</w:t>
      </w:r>
    </w:p>
    <w:p w:rsidR="00547EBC" w:rsidRDefault="00547EBC" w:rsidP="00547EBC">
      <w:pPr>
        <w:spacing w:beforeLines="50" w:before="120"/>
        <w:jc w:val="center"/>
        <w:rPr>
          <w:rFonts w:ascii="仿宋_GB2312" w:eastAsia="仿宋_GB2312" w:hAnsi="Times New Roman"/>
          <w:sz w:val="24"/>
          <w:szCs w:val="28"/>
        </w:rPr>
      </w:pPr>
    </w:p>
    <w:p w:rsidR="00547EBC" w:rsidRDefault="00547EBC" w:rsidP="00547EB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 w:rsidRPr="00157791"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十三</w:t>
      </w:r>
      <w:r w:rsidRPr="00157791">
        <w:rPr>
          <w:rFonts w:ascii="黑体" w:eastAsia="黑体" w:hAnsi="黑体" w:hint="eastAsia"/>
          <w:sz w:val="28"/>
          <w:szCs w:val="28"/>
        </w:rPr>
        <w:t>至第</w:t>
      </w:r>
      <w:r>
        <w:rPr>
          <w:rFonts w:ascii="黑体" w:eastAsia="黑体" w:hAnsi="黑体" w:hint="eastAsia"/>
          <w:sz w:val="28"/>
          <w:szCs w:val="28"/>
        </w:rPr>
        <w:t>十六教学周调课情况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lastRenderedPageBreak/>
        <w:t>由于</w:t>
      </w:r>
      <w:r>
        <w:rPr>
          <w:rFonts w:ascii="仿宋_GB2312" w:eastAsia="仿宋_GB2312" w:hAnsi="Times New Roman"/>
          <w:sz w:val="28"/>
          <w:szCs w:val="28"/>
        </w:rPr>
        <w:t>临近结课，</w:t>
      </w:r>
      <w:r>
        <w:rPr>
          <w:rFonts w:ascii="仿宋_GB2312" w:eastAsia="仿宋_GB2312" w:hAnsi="Times New Roman" w:hint="eastAsia"/>
          <w:sz w:val="28"/>
          <w:szCs w:val="28"/>
        </w:rPr>
        <w:t>本期</w:t>
      </w:r>
      <w:r>
        <w:rPr>
          <w:rFonts w:ascii="仿宋_GB2312" w:eastAsia="仿宋_GB2312" w:hAnsi="Times New Roman"/>
          <w:sz w:val="28"/>
          <w:szCs w:val="28"/>
        </w:rPr>
        <w:t>调课人数和人次</w:t>
      </w:r>
      <w:r>
        <w:rPr>
          <w:rFonts w:ascii="仿宋_GB2312" w:eastAsia="仿宋_GB2312" w:hAnsi="Times New Roman" w:hint="eastAsia"/>
          <w:sz w:val="28"/>
          <w:szCs w:val="28"/>
        </w:rPr>
        <w:t>总体</w:t>
      </w:r>
      <w:r>
        <w:rPr>
          <w:rFonts w:ascii="仿宋_GB2312" w:eastAsia="仿宋_GB2312" w:hAnsi="Times New Roman"/>
          <w:sz w:val="28"/>
          <w:szCs w:val="28"/>
        </w:rPr>
        <w:t>不高，</w:t>
      </w:r>
      <w:r>
        <w:rPr>
          <w:rFonts w:ascii="仿宋_GB2312" w:eastAsia="仿宋_GB2312" w:hAnsi="Times New Roman" w:hint="eastAsia"/>
          <w:sz w:val="28"/>
          <w:szCs w:val="28"/>
        </w:rPr>
        <w:t>文化</w:t>
      </w:r>
      <w:r>
        <w:rPr>
          <w:rFonts w:ascii="仿宋_GB2312" w:eastAsia="仿宋_GB2312" w:hAnsi="Times New Roman"/>
          <w:sz w:val="28"/>
          <w:szCs w:val="28"/>
        </w:rPr>
        <w:t>传播</w:t>
      </w:r>
      <w:r>
        <w:rPr>
          <w:rFonts w:ascii="仿宋_GB2312" w:eastAsia="仿宋_GB2312" w:hAnsi="Times New Roman" w:hint="eastAsia"/>
          <w:sz w:val="28"/>
          <w:szCs w:val="28"/>
        </w:rPr>
        <w:t>学院和设计</w:t>
      </w:r>
      <w:r>
        <w:rPr>
          <w:rFonts w:ascii="仿宋_GB2312" w:eastAsia="仿宋_GB2312" w:hAnsi="Times New Roman"/>
          <w:sz w:val="28"/>
          <w:szCs w:val="28"/>
        </w:rPr>
        <w:t>艺术学院</w:t>
      </w:r>
      <w:r>
        <w:rPr>
          <w:rFonts w:ascii="仿宋_GB2312" w:eastAsia="仿宋_GB2312" w:hAnsi="Times New Roman" w:hint="eastAsia"/>
          <w:sz w:val="28"/>
          <w:szCs w:val="28"/>
        </w:rPr>
        <w:t>调课人数</w:t>
      </w:r>
      <w:r>
        <w:rPr>
          <w:rFonts w:ascii="仿宋_GB2312" w:eastAsia="仿宋_GB2312" w:hAnsi="Times New Roman"/>
          <w:sz w:val="28"/>
          <w:szCs w:val="28"/>
        </w:rPr>
        <w:t>和</w:t>
      </w:r>
      <w:r>
        <w:rPr>
          <w:rFonts w:ascii="仿宋_GB2312" w:eastAsia="仿宋_GB2312" w:hAnsi="Times New Roman" w:hint="eastAsia"/>
          <w:sz w:val="28"/>
          <w:szCs w:val="28"/>
        </w:rPr>
        <w:t>人次最多</w:t>
      </w:r>
      <w:r>
        <w:rPr>
          <w:rFonts w:ascii="仿宋_GB2312" w:eastAsia="仿宋_GB2312" w:hAnsi="Times New Roman"/>
          <w:sz w:val="28"/>
          <w:szCs w:val="28"/>
        </w:rPr>
        <w:t>，</w:t>
      </w:r>
      <w:r>
        <w:rPr>
          <w:rFonts w:ascii="仿宋_GB2312" w:eastAsia="仿宋_GB2312" w:hAnsi="Times New Roman" w:hint="eastAsia"/>
          <w:sz w:val="28"/>
          <w:szCs w:val="28"/>
        </w:rPr>
        <w:t>均为</w:t>
      </w:r>
      <w:r>
        <w:rPr>
          <w:rFonts w:ascii="仿宋_GB2312" w:eastAsia="仿宋_GB2312" w:hAnsi="Times New Roman"/>
          <w:sz w:val="28"/>
          <w:szCs w:val="28"/>
        </w:rPr>
        <w:t>4</w:t>
      </w:r>
      <w:r>
        <w:rPr>
          <w:rFonts w:ascii="仿宋_GB2312" w:eastAsia="仿宋_GB2312" w:hAnsi="Times New Roman" w:hint="eastAsia"/>
          <w:sz w:val="28"/>
          <w:szCs w:val="28"/>
        </w:rPr>
        <w:t>人（次</w:t>
      </w:r>
      <w:r>
        <w:rPr>
          <w:rFonts w:ascii="仿宋_GB2312" w:eastAsia="仿宋_GB2312" w:hAnsi="Times New Roman"/>
          <w:sz w:val="28"/>
          <w:szCs w:val="28"/>
        </w:rPr>
        <w:t>）</w:t>
      </w:r>
      <w:r>
        <w:rPr>
          <w:rFonts w:ascii="仿宋_GB2312" w:eastAsia="仿宋_GB2312" w:hAnsi="Times New Roman" w:hint="eastAsia"/>
          <w:sz w:val="28"/>
          <w:szCs w:val="28"/>
        </w:rPr>
        <w:t>，主要由于学生需要外出实践或</w:t>
      </w:r>
      <w:r>
        <w:rPr>
          <w:rFonts w:ascii="仿宋_GB2312" w:eastAsia="仿宋_GB2312" w:hAnsi="Times New Roman"/>
          <w:sz w:val="28"/>
          <w:szCs w:val="28"/>
        </w:rPr>
        <w:t>参加讲座活动</w:t>
      </w:r>
      <w:r>
        <w:rPr>
          <w:rFonts w:ascii="仿宋_GB2312" w:eastAsia="仿宋_GB2312" w:hAnsi="Times New Roman" w:hint="eastAsia"/>
          <w:sz w:val="28"/>
          <w:szCs w:val="28"/>
        </w:rPr>
        <w:t>而</w:t>
      </w:r>
      <w:r>
        <w:rPr>
          <w:rFonts w:ascii="仿宋_GB2312" w:eastAsia="仿宋_GB2312" w:hAnsi="Times New Roman"/>
          <w:sz w:val="28"/>
          <w:szCs w:val="28"/>
        </w:rPr>
        <w:t>调课</w:t>
      </w:r>
      <w:r>
        <w:rPr>
          <w:rFonts w:ascii="仿宋_GB2312" w:eastAsia="仿宋_GB2312" w:hAnsi="Times New Roman" w:hint="eastAsia"/>
          <w:sz w:val="28"/>
          <w:szCs w:val="28"/>
        </w:rPr>
        <w:t>；其他</w:t>
      </w:r>
      <w:r>
        <w:rPr>
          <w:rFonts w:ascii="仿宋_GB2312" w:eastAsia="仿宋_GB2312" w:hAnsi="Times New Roman"/>
          <w:sz w:val="28"/>
          <w:szCs w:val="28"/>
        </w:rPr>
        <w:t>9</w:t>
      </w:r>
      <w:r>
        <w:rPr>
          <w:rFonts w:ascii="仿宋_GB2312" w:eastAsia="仿宋_GB2312" w:hAnsi="Times New Roman" w:hint="eastAsia"/>
          <w:sz w:val="28"/>
          <w:szCs w:val="28"/>
        </w:rPr>
        <w:t>个</w:t>
      </w:r>
      <w:r>
        <w:rPr>
          <w:rFonts w:ascii="仿宋_GB2312" w:eastAsia="仿宋_GB2312" w:hAnsi="Times New Roman"/>
          <w:sz w:val="28"/>
          <w:szCs w:val="28"/>
        </w:rPr>
        <w:t>院（部）调课人</w:t>
      </w:r>
      <w:r>
        <w:rPr>
          <w:rFonts w:ascii="仿宋_GB2312" w:eastAsia="仿宋_GB2312" w:hAnsi="Times New Roman" w:hint="eastAsia"/>
          <w:sz w:val="28"/>
          <w:szCs w:val="28"/>
        </w:rPr>
        <w:t>次</w:t>
      </w:r>
      <w:r>
        <w:rPr>
          <w:rFonts w:ascii="仿宋_GB2312" w:eastAsia="仿宋_GB2312" w:hAnsi="Times New Roman"/>
          <w:sz w:val="28"/>
          <w:szCs w:val="28"/>
        </w:rPr>
        <w:t>均在3</w:t>
      </w:r>
      <w:r>
        <w:rPr>
          <w:rFonts w:ascii="仿宋_GB2312" w:eastAsia="仿宋_GB2312" w:hAnsi="Times New Roman" w:hint="eastAsia"/>
          <w:sz w:val="28"/>
          <w:szCs w:val="28"/>
        </w:rPr>
        <w:t>人次</w:t>
      </w:r>
      <w:r>
        <w:rPr>
          <w:rFonts w:ascii="仿宋_GB2312" w:eastAsia="仿宋_GB2312" w:hAnsi="Times New Roman"/>
          <w:sz w:val="28"/>
          <w:szCs w:val="28"/>
        </w:rPr>
        <w:t>以下</w:t>
      </w:r>
      <w:r>
        <w:rPr>
          <w:rFonts w:ascii="仿宋_GB2312" w:eastAsia="仿宋_GB2312" w:hAnsi="Times New Roman" w:hint="eastAsia"/>
          <w:sz w:val="28"/>
          <w:szCs w:val="28"/>
        </w:rPr>
        <w:t>，</w:t>
      </w:r>
      <w:r>
        <w:rPr>
          <w:rFonts w:ascii="仿宋_GB2312" w:eastAsia="仿宋_GB2312" w:hAnsi="Times New Roman"/>
          <w:sz w:val="28"/>
          <w:szCs w:val="28"/>
        </w:rPr>
        <w:t>其中</w:t>
      </w:r>
      <w:r>
        <w:rPr>
          <w:rFonts w:ascii="仿宋_GB2312" w:eastAsia="仿宋_GB2312" w:hAnsi="Times New Roman" w:hint="eastAsia"/>
          <w:sz w:val="28"/>
          <w:szCs w:val="28"/>
        </w:rPr>
        <w:t>会计</w:t>
      </w:r>
      <w:r>
        <w:rPr>
          <w:rFonts w:ascii="仿宋_GB2312" w:eastAsia="仿宋_GB2312" w:hAnsi="Times New Roman"/>
          <w:sz w:val="28"/>
          <w:szCs w:val="28"/>
        </w:rPr>
        <w:t>学院、思想政治理论</w:t>
      </w:r>
      <w:r>
        <w:rPr>
          <w:rFonts w:ascii="仿宋_GB2312" w:eastAsia="仿宋_GB2312" w:hAnsi="Times New Roman" w:hint="eastAsia"/>
          <w:sz w:val="28"/>
          <w:szCs w:val="28"/>
        </w:rPr>
        <w:t>课</w:t>
      </w:r>
      <w:r>
        <w:rPr>
          <w:rFonts w:ascii="仿宋_GB2312" w:eastAsia="仿宋_GB2312" w:hAnsi="Times New Roman"/>
          <w:sz w:val="28"/>
          <w:szCs w:val="28"/>
        </w:rPr>
        <w:t>教学部和体育</w:t>
      </w:r>
      <w:r>
        <w:rPr>
          <w:rFonts w:ascii="仿宋_GB2312" w:eastAsia="仿宋_GB2312" w:hAnsi="Times New Roman" w:hint="eastAsia"/>
          <w:sz w:val="28"/>
          <w:szCs w:val="28"/>
        </w:rPr>
        <w:t>部没有</w:t>
      </w:r>
      <w:r>
        <w:rPr>
          <w:rFonts w:ascii="仿宋_GB2312" w:eastAsia="仿宋_GB2312" w:hAnsi="Times New Roman"/>
          <w:sz w:val="28"/>
          <w:szCs w:val="28"/>
        </w:rPr>
        <w:t>调课</w:t>
      </w:r>
      <w:r>
        <w:rPr>
          <w:rFonts w:ascii="仿宋_GB2312" w:eastAsia="仿宋_GB2312" w:hAnsi="Times New Roman" w:hint="eastAsia"/>
          <w:sz w:val="28"/>
          <w:szCs w:val="28"/>
        </w:rPr>
        <w:t>。另外</w:t>
      </w:r>
      <w:r>
        <w:rPr>
          <w:rFonts w:ascii="仿宋_GB2312" w:eastAsia="仿宋_GB2312" w:hAnsi="Times New Roman"/>
          <w:sz w:val="28"/>
          <w:szCs w:val="28"/>
        </w:rPr>
        <w:t>，</w:t>
      </w:r>
      <w:r>
        <w:rPr>
          <w:rFonts w:ascii="仿宋_GB2312" w:eastAsia="仿宋_GB2312" w:hAnsi="Times New Roman" w:hint="eastAsia"/>
          <w:sz w:val="28"/>
          <w:szCs w:val="28"/>
        </w:rPr>
        <w:t>本期党政部门在</w:t>
      </w:r>
      <w:r>
        <w:rPr>
          <w:rFonts w:ascii="仿宋_GB2312" w:eastAsia="仿宋_GB2312" w:hAnsi="Times New Roman"/>
          <w:sz w:val="28"/>
          <w:szCs w:val="28"/>
        </w:rPr>
        <w:t>学院承担课程</w:t>
      </w:r>
      <w:r>
        <w:rPr>
          <w:rFonts w:ascii="仿宋_GB2312" w:eastAsia="仿宋_GB2312" w:hAnsi="Times New Roman" w:hint="eastAsia"/>
          <w:sz w:val="28"/>
          <w:szCs w:val="28"/>
        </w:rPr>
        <w:t>的教师</w:t>
      </w:r>
      <w:r>
        <w:rPr>
          <w:rFonts w:ascii="仿宋_GB2312" w:eastAsia="仿宋_GB2312" w:hAnsi="Times New Roman"/>
          <w:sz w:val="28"/>
          <w:szCs w:val="28"/>
        </w:rPr>
        <w:t>调课记录</w:t>
      </w:r>
      <w:r>
        <w:rPr>
          <w:rFonts w:ascii="仿宋_GB2312" w:eastAsia="仿宋_GB2312" w:hAnsi="Times New Roman" w:hint="eastAsia"/>
          <w:sz w:val="28"/>
          <w:szCs w:val="28"/>
        </w:rPr>
        <w:t>为</w:t>
      </w:r>
      <w:r>
        <w:rPr>
          <w:rFonts w:ascii="仿宋_GB2312" w:eastAsia="仿宋_GB2312" w:hAnsi="Times New Roman"/>
          <w:sz w:val="28"/>
          <w:szCs w:val="28"/>
        </w:rPr>
        <w:t>2</w:t>
      </w:r>
      <w:r>
        <w:rPr>
          <w:rFonts w:ascii="仿宋_GB2312" w:eastAsia="仿宋_GB2312" w:hAnsi="Times New Roman" w:hint="eastAsia"/>
          <w:sz w:val="28"/>
          <w:szCs w:val="28"/>
        </w:rPr>
        <w:t>人</w:t>
      </w:r>
      <w:r>
        <w:rPr>
          <w:rFonts w:ascii="仿宋_GB2312" w:eastAsia="仿宋_GB2312" w:hAnsi="Times New Roman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次</w:t>
      </w:r>
      <w:r>
        <w:rPr>
          <w:rFonts w:ascii="仿宋_GB2312" w:eastAsia="仿宋_GB2312" w:hAnsi="Times New Roman"/>
          <w:sz w:val="28"/>
          <w:szCs w:val="28"/>
        </w:rPr>
        <w:t>）。</w:t>
      </w:r>
      <w:r>
        <w:rPr>
          <w:rFonts w:ascii="仿宋_GB2312" w:eastAsia="仿宋_GB2312" w:hAnsi="Times New Roman" w:hint="eastAsia"/>
          <w:sz w:val="28"/>
          <w:szCs w:val="28"/>
        </w:rPr>
        <w:t>本期全校</w:t>
      </w:r>
      <w:r>
        <w:rPr>
          <w:rFonts w:ascii="仿宋_GB2312" w:eastAsia="仿宋_GB2312" w:hAnsi="Times New Roman"/>
          <w:sz w:val="28"/>
          <w:szCs w:val="28"/>
        </w:rPr>
        <w:t>调课人数、人次情况</w:t>
      </w:r>
      <w:r>
        <w:rPr>
          <w:rFonts w:ascii="仿宋_GB2312" w:eastAsia="仿宋_GB2312" w:hAnsi="Times New Roman" w:hint="eastAsia"/>
          <w:sz w:val="28"/>
          <w:szCs w:val="28"/>
        </w:rPr>
        <w:t>如下</w:t>
      </w:r>
      <w:r>
        <w:rPr>
          <w:rFonts w:ascii="仿宋_GB2312" w:eastAsia="仿宋_GB2312" w:hAnsi="Times New Roman"/>
          <w:sz w:val="28"/>
          <w:szCs w:val="28"/>
        </w:rPr>
        <w:t>：</w:t>
      </w:r>
    </w:p>
    <w:p w:rsidR="00547EBC" w:rsidRDefault="00697F10" w:rsidP="00547EBC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68825" cy="2740025"/>
            <wp:effectExtent l="0" t="0" r="22225" b="22225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7EBC" w:rsidRDefault="00547EBC" w:rsidP="00547EBC">
      <w:pPr>
        <w:spacing w:beforeLines="50" w:before="12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 xml:space="preserve">图2 </w:t>
      </w:r>
      <w:r>
        <w:rPr>
          <w:rFonts w:ascii="仿宋_GB2312" w:eastAsia="仿宋_GB2312" w:hAnsi="Times New Roman"/>
          <w:bCs/>
          <w:sz w:val="24"/>
          <w:szCs w:val="24"/>
        </w:rPr>
        <w:t>第</w:t>
      </w:r>
      <w:r>
        <w:rPr>
          <w:rFonts w:ascii="仿宋_GB2312" w:eastAsia="仿宋_GB2312" w:hAnsi="Times New Roman" w:hint="eastAsia"/>
          <w:bCs/>
          <w:sz w:val="24"/>
          <w:szCs w:val="24"/>
        </w:rPr>
        <w:t>十三</w:t>
      </w:r>
      <w:r>
        <w:rPr>
          <w:rFonts w:ascii="仿宋_GB2312" w:eastAsia="仿宋_GB2312" w:hAnsi="Times New Roman"/>
          <w:bCs/>
          <w:sz w:val="24"/>
          <w:szCs w:val="24"/>
        </w:rPr>
        <w:t>至第</w:t>
      </w:r>
      <w:r>
        <w:rPr>
          <w:rFonts w:ascii="仿宋_GB2312" w:eastAsia="仿宋_GB2312" w:hAnsi="Times New Roman" w:hint="eastAsia"/>
          <w:bCs/>
          <w:sz w:val="24"/>
          <w:szCs w:val="24"/>
        </w:rPr>
        <w:t>十六</w:t>
      </w:r>
      <w:r>
        <w:rPr>
          <w:rFonts w:ascii="仿宋_GB2312" w:eastAsia="仿宋_GB2312" w:hAnsi="Times New Roman"/>
          <w:bCs/>
          <w:sz w:val="24"/>
          <w:szCs w:val="24"/>
        </w:rPr>
        <w:t>教学周</w:t>
      </w:r>
      <w:r>
        <w:rPr>
          <w:rFonts w:ascii="仿宋_GB2312" w:eastAsia="仿宋_GB2312" w:hAnsi="Times New Roman" w:hint="eastAsia"/>
          <w:bCs/>
          <w:sz w:val="24"/>
          <w:szCs w:val="24"/>
        </w:rPr>
        <w:t>调</w:t>
      </w:r>
      <w:r>
        <w:rPr>
          <w:rFonts w:ascii="仿宋_GB2312" w:eastAsia="仿宋_GB2312" w:hAnsi="Times New Roman"/>
          <w:bCs/>
          <w:sz w:val="24"/>
          <w:szCs w:val="24"/>
        </w:rPr>
        <w:t>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从各院</w:t>
      </w:r>
      <w:r>
        <w:rPr>
          <w:rFonts w:ascii="仿宋_GB2312" w:eastAsia="仿宋_GB2312" w:hAnsi="Times New Roman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部</w:t>
      </w:r>
      <w:r>
        <w:rPr>
          <w:rFonts w:ascii="仿宋_GB2312" w:eastAsia="仿宋_GB2312" w:hAnsi="Times New Roman"/>
          <w:sz w:val="28"/>
          <w:szCs w:val="28"/>
        </w:rPr>
        <w:t>）</w:t>
      </w:r>
      <w:r>
        <w:rPr>
          <w:rFonts w:ascii="仿宋_GB2312" w:eastAsia="仿宋_GB2312" w:hAnsi="Times New Roman" w:hint="eastAsia"/>
          <w:sz w:val="28"/>
          <w:szCs w:val="28"/>
        </w:rPr>
        <w:t>教师</w:t>
      </w:r>
      <w:r>
        <w:rPr>
          <w:rFonts w:ascii="仿宋_GB2312" w:eastAsia="仿宋_GB2312" w:hAnsi="Times New Roman"/>
          <w:sz w:val="28"/>
          <w:szCs w:val="28"/>
        </w:rPr>
        <w:t>调课的原因来看，</w:t>
      </w:r>
      <w:r>
        <w:rPr>
          <w:rFonts w:ascii="仿宋_GB2312" w:eastAsia="仿宋_GB2312" w:hAnsi="Times New Roman" w:hint="eastAsia"/>
          <w:sz w:val="28"/>
          <w:szCs w:val="28"/>
        </w:rPr>
        <w:t>与</w:t>
      </w:r>
      <w:r>
        <w:rPr>
          <w:rFonts w:ascii="仿宋_GB2312" w:eastAsia="仿宋_GB2312" w:hAnsi="Times New Roman"/>
          <w:sz w:val="28"/>
          <w:szCs w:val="28"/>
        </w:rPr>
        <w:t>上期相同</w:t>
      </w:r>
      <w:r>
        <w:rPr>
          <w:rFonts w:ascii="仿宋_GB2312" w:eastAsia="仿宋_GB2312" w:hAnsi="Times New Roman" w:hint="eastAsia"/>
          <w:sz w:val="28"/>
          <w:szCs w:val="28"/>
        </w:rPr>
        <w:t>，出差调研考察和</w:t>
      </w:r>
      <w:r>
        <w:rPr>
          <w:rFonts w:ascii="仿宋_GB2312" w:eastAsia="仿宋_GB2312" w:hAnsi="Times New Roman"/>
          <w:sz w:val="28"/>
          <w:szCs w:val="28"/>
        </w:rPr>
        <w:t>学生实践</w:t>
      </w:r>
      <w:r>
        <w:rPr>
          <w:rFonts w:ascii="仿宋_GB2312" w:eastAsia="仿宋_GB2312" w:hAnsi="Times New Roman" w:hint="eastAsia"/>
          <w:sz w:val="28"/>
          <w:szCs w:val="28"/>
        </w:rPr>
        <w:t>的</w:t>
      </w:r>
      <w:r>
        <w:rPr>
          <w:rFonts w:ascii="仿宋_GB2312" w:eastAsia="仿宋_GB2312" w:hAnsi="Times New Roman"/>
          <w:sz w:val="28"/>
          <w:szCs w:val="28"/>
        </w:rPr>
        <w:t>原因</w:t>
      </w:r>
      <w:r>
        <w:rPr>
          <w:rFonts w:ascii="仿宋_GB2312" w:eastAsia="仿宋_GB2312" w:hAnsi="Times New Roman" w:hint="eastAsia"/>
          <w:sz w:val="28"/>
          <w:szCs w:val="28"/>
        </w:rPr>
        <w:t>仍然居多。</w:t>
      </w:r>
    </w:p>
    <w:p w:rsidR="00547EBC" w:rsidRDefault="00547EBC" w:rsidP="00547EB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 w:rsidRPr="00157791"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十三</w:t>
      </w:r>
      <w:r w:rsidRPr="00157791">
        <w:rPr>
          <w:rFonts w:ascii="黑体" w:eastAsia="黑体" w:hAnsi="黑体" w:hint="eastAsia"/>
          <w:sz w:val="28"/>
          <w:szCs w:val="28"/>
        </w:rPr>
        <w:t>至第</w:t>
      </w:r>
      <w:r>
        <w:rPr>
          <w:rFonts w:ascii="黑体" w:eastAsia="黑体" w:hAnsi="黑体" w:hint="eastAsia"/>
          <w:sz w:val="28"/>
          <w:szCs w:val="28"/>
        </w:rPr>
        <w:t>十六教学周代课情况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本期代课整体</w:t>
      </w:r>
      <w:r>
        <w:rPr>
          <w:rFonts w:ascii="仿宋_GB2312" w:eastAsia="仿宋_GB2312" w:hAnsi="Times New Roman"/>
          <w:sz w:val="28"/>
          <w:szCs w:val="28"/>
        </w:rPr>
        <w:t>人数较少</w:t>
      </w:r>
      <w:r>
        <w:rPr>
          <w:rFonts w:ascii="仿宋_GB2312" w:eastAsia="仿宋_GB2312" w:hAnsi="Times New Roman" w:hint="eastAsia"/>
          <w:sz w:val="28"/>
          <w:szCs w:val="28"/>
        </w:rPr>
        <w:t>。主要集中</w:t>
      </w:r>
      <w:r>
        <w:rPr>
          <w:rFonts w:ascii="仿宋_GB2312" w:eastAsia="仿宋_GB2312" w:hAnsi="Times New Roman"/>
          <w:sz w:val="28"/>
          <w:szCs w:val="28"/>
        </w:rPr>
        <w:t>在</w:t>
      </w:r>
      <w:r>
        <w:rPr>
          <w:rFonts w:ascii="仿宋_GB2312" w:eastAsia="仿宋_GB2312" w:hAnsi="Times New Roman" w:hint="eastAsia"/>
          <w:sz w:val="28"/>
          <w:szCs w:val="28"/>
        </w:rPr>
        <w:t>经济管理</w:t>
      </w:r>
      <w:r>
        <w:rPr>
          <w:rFonts w:ascii="仿宋_GB2312" w:eastAsia="仿宋_GB2312" w:hAnsi="Times New Roman"/>
          <w:sz w:val="28"/>
          <w:szCs w:val="28"/>
        </w:rPr>
        <w:t>学院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>
        <w:rPr>
          <w:rFonts w:ascii="仿宋_GB2312" w:eastAsia="仿宋_GB2312" w:hAnsi="Times New Roman"/>
          <w:sz w:val="28"/>
          <w:szCs w:val="28"/>
        </w:rPr>
        <w:t>会计学院</w:t>
      </w:r>
      <w:r>
        <w:rPr>
          <w:rFonts w:ascii="仿宋_GB2312" w:eastAsia="仿宋_GB2312" w:hAnsi="Times New Roman" w:hint="eastAsia"/>
          <w:sz w:val="28"/>
          <w:szCs w:val="28"/>
        </w:rPr>
        <w:t>、</w:t>
      </w:r>
      <w:r>
        <w:rPr>
          <w:rFonts w:ascii="仿宋_GB2312" w:eastAsia="仿宋_GB2312" w:hAnsi="Times New Roman"/>
          <w:sz w:val="28"/>
          <w:szCs w:val="28"/>
        </w:rPr>
        <w:t>文化传播学院、设计艺术学院和</w:t>
      </w:r>
      <w:r>
        <w:rPr>
          <w:rFonts w:ascii="仿宋_GB2312" w:eastAsia="仿宋_GB2312" w:hAnsi="Times New Roman" w:hint="eastAsia"/>
          <w:sz w:val="28"/>
          <w:szCs w:val="28"/>
        </w:rPr>
        <w:t>信息</w:t>
      </w:r>
      <w:r>
        <w:rPr>
          <w:rFonts w:ascii="仿宋_GB2312" w:eastAsia="仿宋_GB2312" w:hAnsi="Times New Roman"/>
          <w:sz w:val="28"/>
          <w:szCs w:val="28"/>
        </w:rPr>
        <w:t>工程学院</w:t>
      </w:r>
      <w:r>
        <w:rPr>
          <w:rFonts w:ascii="仿宋_GB2312" w:eastAsia="仿宋_GB2312" w:hAnsi="Times New Roman" w:hint="eastAsia"/>
          <w:sz w:val="28"/>
          <w:szCs w:val="28"/>
        </w:rPr>
        <w:t>，其中除信息工程学院有1人</w:t>
      </w:r>
      <w:r>
        <w:rPr>
          <w:rFonts w:ascii="仿宋_GB2312" w:eastAsia="仿宋_GB2312" w:hAnsi="Times New Roman"/>
          <w:sz w:val="28"/>
          <w:szCs w:val="28"/>
        </w:rPr>
        <w:t>代课外，其他4</w:t>
      </w:r>
      <w:r>
        <w:rPr>
          <w:rFonts w:ascii="仿宋_GB2312" w:eastAsia="仿宋_GB2312" w:hAnsi="Times New Roman" w:hint="eastAsia"/>
          <w:sz w:val="28"/>
          <w:szCs w:val="28"/>
        </w:rPr>
        <w:t>个学院均为2人</w:t>
      </w:r>
      <w:r>
        <w:rPr>
          <w:rFonts w:ascii="仿宋_GB2312" w:eastAsia="仿宋_GB2312" w:hAnsi="Times New Roman"/>
          <w:sz w:val="28"/>
          <w:szCs w:val="28"/>
        </w:rPr>
        <w:t>（</w:t>
      </w:r>
      <w:r>
        <w:rPr>
          <w:rFonts w:ascii="仿宋_GB2312" w:eastAsia="仿宋_GB2312" w:hAnsi="Times New Roman" w:hint="eastAsia"/>
          <w:sz w:val="28"/>
          <w:szCs w:val="28"/>
        </w:rPr>
        <w:t>次</w:t>
      </w:r>
      <w:r>
        <w:rPr>
          <w:rFonts w:ascii="仿宋_GB2312" w:eastAsia="仿宋_GB2312" w:hAnsi="Times New Roman"/>
          <w:sz w:val="28"/>
          <w:szCs w:val="28"/>
        </w:rPr>
        <w:t>）。</w:t>
      </w:r>
      <w:r>
        <w:rPr>
          <w:rFonts w:ascii="仿宋_GB2312" w:eastAsia="仿宋_GB2312" w:hAnsi="Times New Roman" w:hint="eastAsia"/>
          <w:sz w:val="28"/>
          <w:szCs w:val="28"/>
        </w:rPr>
        <w:t>在本期</w:t>
      </w:r>
      <w:r>
        <w:rPr>
          <w:rFonts w:ascii="仿宋_GB2312" w:eastAsia="仿宋_GB2312" w:hAnsi="Times New Roman"/>
          <w:sz w:val="28"/>
          <w:szCs w:val="28"/>
        </w:rPr>
        <w:t>全校代课</w:t>
      </w:r>
      <w:r>
        <w:rPr>
          <w:rFonts w:ascii="仿宋_GB2312" w:eastAsia="仿宋_GB2312" w:hAnsi="Times New Roman" w:hint="eastAsia"/>
          <w:sz w:val="28"/>
          <w:szCs w:val="28"/>
        </w:rPr>
        <w:t>情况</w:t>
      </w:r>
      <w:r>
        <w:rPr>
          <w:rFonts w:ascii="仿宋_GB2312" w:eastAsia="仿宋_GB2312" w:hAnsi="Times New Roman"/>
          <w:sz w:val="28"/>
          <w:szCs w:val="28"/>
        </w:rPr>
        <w:t>的原因</w:t>
      </w:r>
      <w:r>
        <w:rPr>
          <w:rFonts w:ascii="仿宋_GB2312" w:eastAsia="仿宋_GB2312" w:hAnsi="Times New Roman" w:hint="eastAsia"/>
          <w:sz w:val="28"/>
          <w:szCs w:val="28"/>
        </w:rPr>
        <w:t>中，</w:t>
      </w:r>
      <w:r>
        <w:rPr>
          <w:rFonts w:ascii="仿宋_GB2312" w:eastAsia="仿宋_GB2312" w:hAnsi="Times New Roman"/>
          <w:sz w:val="28"/>
          <w:szCs w:val="28"/>
        </w:rPr>
        <w:t>因</w:t>
      </w:r>
      <w:r>
        <w:rPr>
          <w:rFonts w:ascii="仿宋_GB2312" w:eastAsia="仿宋_GB2312" w:hAnsi="Times New Roman" w:hint="eastAsia"/>
          <w:sz w:val="28"/>
          <w:szCs w:val="28"/>
        </w:rPr>
        <w:t>事假和出差</w:t>
      </w:r>
      <w:r>
        <w:rPr>
          <w:rFonts w:ascii="仿宋_GB2312" w:eastAsia="仿宋_GB2312" w:hAnsi="Times New Roman"/>
          <w:sz w:val="28"/>
          <w:szCs w:val="28"/>
        </w:rPr>
        <w:t>参</w:t>
      </w:r>
      <w:r>
        <w:rPr>
          <w:rFonts w:ascii="仿宋_GB2312" w:eastAsia="仿宋_GB2312" w:hAnsi="Times New Roman" w:hint="eastAsia"/>
          <w:sz w:val="28"/>
          <w:szCs w:val="28"/>
        </w:rPr>
        <w:t>会的</w:t>
      </w:r>
      <w:r>
        <w:rPr>
          <w:rFonts w:ascii="仿宋_GB2312" w:eastAsia="仿宋_GB2312" w:hAnsi="Times New Roman"/>
          <w:sz w:val="28"/>
          <w:szCs w:val="28"/>
        </w:rPr>
        <w:t>居多</w:t>
      </w:r>
      <w:r>
        <w:rPr>
          <w:rFonts w:ascii="仿宋_GB2312" w:eastAsia="仿宋_GB2312" w:hAnsi="Times New Roman" w:hint="eastAsia"/>
          <w:sz w:val="28"/>
          <w:szCs w:val="28"/>
        </w:rPr>
        <w:t>。全校</w:t>
      </w:r>
      <w:r>
        <w:rPr>
          <w:rFonts w:ascii="仿宋_GB2312" w:eastAsia="仿宋_GB2312" w:hAnsi="Times New Roman"/>
          <w:sz w:val="28"/>
          <w:szCs w:val="28"/>
        </w:rPr>
        <w:t>代课人数、人次及占比情况</w:t>
      </w:r>
      <w:r>
        <w:rPr>
          <w:rFonts w:ascii="仿宋_GB2312" w:eastAsia="仿宋_GB2312" w:hAnsi="Times New Roman" w:hint="eastAsia"/>
          <w:sz w:val="28"/>
          <w:szCs w:val="28"/>
        </w:rPr>
        <w:t>如下</w:t>
      </w:r>
      <w:r>
        <w:rPr>
          <w:rFonts w:ascii="仿宋_GB2312" w:eastAsia="仿宋_GB2312" w:hAnsi="Times New Roman"/>
          <w:sz w:val="28"/>
          <w:szCs w:val="28"/>
        </w:rPr>
        <w:t>：</w:t>
      </w:r>
    </w:p>
    <w:p w:rsidR="00547EBC" w:rsidRDefault="00697F10" w:rsidP="00547EBC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68825" cy="2740025"/>
            <wp:effectExtent l="0" t="0" r="22225" b="22225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EBC" w:rsidRDefault="00547EBC" w:rsidP="00547EBC">
      <w:pPr>
        <w:spacing w:beforeLines="50" w:before="120"/>
        <w:jc w:val="center"/>
        <w:rPr>
          <w:rFonts w:ascii="仿宋_GB2312" w:eastAsia="仿宋_GB2312" w:hAnsi="Times New Roman"/>
          <w:sz w:val="24"/>
          <w:szCs w:val="24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 xml:space="preserve">图3 </w:t>
      </w:r>
      <w:r>
        <w:rPr>
          <w:rFonts w:ascii="仿宋_GB2312" w:eastAsia="仿宋_GB2312" w:hAnsi="Times New Roman"/>
          <w:bCs/>
          <w:sz w:val="24"/>
          <w:szCs w:val="24"/>
        </w:rPr>
        <w:t>第</w:t>
      </w:r>
      <w:r>
        <w:rPr>
          <w:rFonts w:ascii="仿宋_GB2312" w:eastAsia="仿宋_GB2312" w:hAnsi="Times New Roman" w:hint="eastAsia"/>
          <w:bCs/>
          <w:sz w:val="24"/>
          <w:szCs w:val="24"/>
        </w:rPr>
        <w:t>十三</w:t>
      </w:r>
      <w:r>
        <w:rPr>
          <w:rFonts w:ascii="仿宋_GB2312" w:eastAsia="仿宋_GB2312" w:hAnsi="Times New Roman"/>
          <w:bCs/>
          <w:sz w:val="24"/>
          <w:szCs w:val="24"/>
        </w:rPr>
        <w:t>至第</w:t>
      </w:r>
      <w:r>
        <w:rPr>
          <w:rFonts w:ascii="仿宋_GB2312" w:eastAsia="仿宋_GB2312" w:hAnsi="Times New Roman" w:hint="eastAsia"/>
          <w:bCs/>
          <w:sz w:val="24"/>
          <w:szCs w:val="24"/>
        </w:rPr>
        <w:t>十六</w:t>
      </w:r>
      <w:r>
        <w:rPr>
          <w:rFonts w:ascii="仿宋_GB2312" w:eastAsia="仿宋_GB2312" w:hAnsi="Times New Roman"/>
          <w:bCs/>
          <w:sz w:val="24"/>
          <w:szCs w:val="24"/>
        </w:rPr>
        <w:t>教学周代课情况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 w:rsidRPr="00157791">
        <w:rPr>
          <w:rFonts w:ascii="黑体" w:eastAsia="黑体" w:hAnsi="黑体" w:hint="eastAsia"/>
          <w:sz w:val="28"/>
          <w:szCs w:val="28"/>
        </w:rPr>
        <w:t>第</w:t>
      </w:r>
      <w:r>
        <w:rPr>
          <w:rFonts w:ascii="黑体" w:eastAsia="黑体" w:hAnsi="黑体" w:hint="eastAsia"/>
          <w:sz w:val="28"/>
          <w:szCs w:val="28"/>
        </w:rPr>
        <w:t>十三</w:t>
      </w:r>
      <w:r w:rsidRPr="00157791">
        <w:rPr>
          <w:rFonts w:ascii="黑体" w:eastAsia="黑体" w:hAnsi="黑体" w:hint="eastAsia"/>
          <w:sz w:val="28"/>
          <w:szCs w:val="28"/>
        </w:rPr>
        <w:t>至第</w:t>
      </w:r>
      <w:r>
        <w:rPr>
          <w:rFonts w:ascii="黑体" w:eastAsia="黑体" w:hAnsi="黑体" w:hint="eastAsia"/>
          <w:sz w:val="28"/>
          <w:szCs w:val="28"/>
        </w:rPr>
        <w:t>十六教学周外聘教师调停课情况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由于</w:t>
      </w:r>
      <w:r>
        <w:rPr>
          <w:rFonts w:ascii="仿宋_GB2312" w:eastAsia="仿宋_GB2312" w:hAnsi="Times New Roman"/>
          <w:sz w:val="28"/>
          <w:szCs w:val="28"/>
        </w:rPr>
        <w:t>临近结课，</w:t>
      </w:r>
      <w:r>
        <w:rPr>
          <w:rFonts w:ascii="仿宋_GB2312" w:eastAsia="仿宋_GB2312" w:hAnsi="Times New Roman" w:hint="eastAsia"/>
          <w:sz w:val="28"/>
          <w:szCs w:val="28"/>
        </w:rPr>
        <w:t>本期</w:t>
      </w:r>
      <w:r>
        <w:rPr>
          <w:rFonts w:ascii="仿宋_GB2312" w:eastAsia="仿宋_GB2312" w:hAnsi="Times New Roman"/>
          <w:sz w:val="28"/>
          <w:szCs w:val="28"/>
        </w:rPr>
        <w:t>外聘教师调停课</w:t>
      </w:r>
      <w:r>
        <w:rPr>
          <w:rFonts w:ascii="仿宋_GB2312" w:eastAsia="仿宋_GB2312" w:hAnsi="Times New Roman" w:hint="eastAsia"/>
          <w:sz w:val="28"/>
          <w:szCs w:val="28"/>
        </w:rPr>
        <w:t>情况</w:t>
      </w:r>
      <w:r>
        <w:rPr>
          <w:rFonts w:ascii="仿宋_GB2312" w:eastAsia="仿宋_GB2312" w:hAnsi="Times New Roman"/>
          <w:sz w:val="28"/>
          <w:szCs w:val="28"/>
        </w:rPr>
        <w:t>较</w:t>
      </w:r>
      <w:r>
        <w:rPr>
          <w:rFonts w:ascii="仿宋_GB2312" w:eastAsia="仿宋_GB2312" w:hAnsi="Times New Roman" w:hint="eastAsia"/>
          <w:sz w:val="28"/>
          <w:szCs w:val="28"/>
        </w:rPr>
        <w:t>前四周相比大幅</w:t>
      </w:r>
      <w:r>
        <w:rPr>
          <w:rFonts w:ascii="仿宋_GB2312" w:eastAsia="仿宋_GB2312" w:hAnsi="Times New Roman"/>
          <w:sz w:val="28"/>
          <w:szCs w:val="28"/>
        </w:rPr>
        <w:t>减少，</w:t>
      </w:r>
      <w:r>
        <w:rPr>
          <w:rFonts w:ascii="仿宋_GB2312" w:eastAsia="仿宋_GB2312" w:hAnsi="Times New Roman" w:hint="eastAsia"/>
          <w:sz w:val="28"/>
          <w:szCs w:val="28"/>
        </w:rPr>
        <w:t>调</w:t>
      </w:r>
      <w:r>
        <w:rPr>
          <w:rFonts w:ascii="仿宋_GB2312" w:eastAsia="仿宋_GB2312" w:hAnsi="Times New Roman"/>
          <w:sz w:val="28"/>
          <w:szCs w:val="28"/>
        </w:rPr>
        <w:t>课人次从</w:t>
      </w:r>
      <w:r>
        <w:rPr>
          <w:rFonts w:ascii="仿宋_GB2312" w:eastAsia="仿宋_GB2312" w:hAnsi="Times New Roman" w:hint="eastAsia"/>
          <w:sz w:val="28"/>
          <w:szCs w:val="28"/>
        </w:rPr>
        <w:t>前四周</w:t>
      </w:r>
      <w:r>
        <w:rPr>
          <w:rFonts w:ascii="仿宋_GB2312" w:eastAsia="仿宋_GB2312" w:hAnsi="Times New Roman"/>
          <w:sz w:val="28"/>
          <w:szCs w:val="28"/>
        </w:rPr>
        <w:t>的7</w:t>
      </w:r>
      <w:r>
        <w:rPr>
          <w:rFonts w:ascii="仿宋_GB2312" w:eastAsia="仿宋_GB2312" w:hAnsi="Times New Roman" w:hint="eastAsia"/>
          <w:sz w:val="28"/>
          <w:szCs w:val="28"/>
        </w:rPr>
        <w:t>人次降</w:t>
      </w:r>
      <w:r>
        <w:rPr>
          <w:rFonts w:ascii="仿宋_GB2312" w:eastAsia="仿宋_GB2312" w:hAnsi="Times New Roman"/>
          <w:sz w:val="28"/>
          <w:szCs w:val="28"/>
        </w:rPr>
        <w:t>到</w:t>
      </w:r>
      <w:r>
        <w:rPr>
          <w:rFonts w:ascii="仿宋_GB2312" w:eastAsia="仿宋_GB2312" w:hAnsi="Times New Roman" w:hint="eastAsia"/>
          <w:sz w:val="28"/>
          <w:szCs w:val="28"/>
        </w:rPr>
        <w:t>近四周</w:t>
      </w:r>
      <w:r>
        <w:rPr>
          <w:rFonts w:ascii="仿宋_GB2312" w:eastAsia="仿宋_GB2312" w:hAnsi="Times New Roman"/>
          <w:sz w:val="28"/>
          <w:szCs w:val="28"/>
        </w:rPr>
        <w:t>的1</w:t>
      </w:r>
      <w:r>
        <w:rPr>
          <w:rFonts w:ascii="仿宋_GB2312" w:eastAsia="仿宋_GB2312" w:hAnsi="Times New Roman" w:hint="eastAsia"/>
          <w:sz w:val="28"/>
          <w:szCs w:val="28"/>
        </w:rPr>
        <w:t>人次</w:t>
      </w:r>
      <w:r>
        <w:rPr>
          <w:rFonts w:ascii="仿宋_GB2312" w:eastAsia="仿宋_GB2312" w:hAnsi="Times New Roman"/>
          <w:sz w:val="28"/>
          <w:szCs w:val="28"/>
        </w:rPr>
        <w:t>，降幅</w:t>
      </w:r>
      <w:r>
        <w:rPr>
          <w:rFonts w:ascii="仿宋_GB2312" w:eastAsia="仿宋_GB2312" w:hAnsi="Times New Roman" w:hint="eastAsia"/>
          <w:sz w:val="28"/>
          <w:szCs w:val="28"/>
        </w:rPr>
        <w:t>为85.7</w:t>
      </w:r>
      <w:r>
        <w:rPr>
          <w:rFonts w:ascii="仿宋_GB2312" w:eastAsia="仿宋_GB2312" w:hAnsi="Times New Roman"/>
          <w:sz w:val="28"/>
          <w:szCs w:val="28"/>
        </w:rPr>
        <w:t>%</w:t>
      </w:r>
      <w:r>
        <w:rPr>
          <w:rFonts w:ascii="仿宋_GB2312" w:eastAsia="仿宋_GB2312" w:hAnsi="Times New Roman" w:hint="eastAsia"/>
          <w:sz w:val="28"/>
          <w:szCs w:val="28"/>
        </w:rPr>
        <w:t>，</w:t>
      </w:r>
      <w:r>
        <w:rPr>
          <w:rFonts w:ascii="仿宋_GB2312" w:eastAsia="仿宋_GB2312" w:hAnsi="Times New Roman"/>
          <w:sz w:val="28"/>
          <w:szCs w:val="28"/>
        </w:rPr>
        <w:t>本期</w:t>
      </w:r>
      <w:r>
        <w:rPr>
          <w:rFonts w:ascii="仿宋_GB2312" w:eastAsia="仿宋_GB2312" w:hAnsi="Times New Roman" w:hint="eastAsia"/>
          <w:sz w:val="28"/>
          <w:szCs w:val="28"/>
        </w:rPr>
        <w:t>外聘</w:t>
      </w:r>
      <w:r>
        <w:rPr>
          <w:rFonts w:ascii="仿宋_GB2312" w:eastAsia="仿宋_GB2312" w:hAnsi="Times New Roman"/>
          <w:sz w:val="28"/>
          <w:szCs w:val="28"/>
        </w:rPr>
        <w:t>教师</w:t>
      </w:r>
      <w:r>
        <w:rPr>
          <w:rFonts w:ascii="仿宋_GB2312" w:eastAsia="仿宋_GB2312" w:hAnsi="Times New Roman" w:hint="eastAsia"/>
          <w:sz w:val="28"/>
          <w:szCs w:val="28"/>
        </w:rPr>
        <w:t>无停课</w:t>
      </w:r>
      <w:r>
        <w:rPr>
          <w:rFonts w:ascii="仿宋_GB2312" w:eastAsia="仿宋_GB2312" w:hAnsi="Times New Roman"/>
          <w:sz w:val="28"/>
          <w:szCs w:val="28"/>
        </w:rPr>
        <w:t>、代课现象</w:t>
      </w:r>
      <w:r>
        <w:rPr>
          <w:rFonts w:ascii="仿宋_GB2312" w:eastAsia="仿宋_GB2312" w:hAnsi="Times New Roman" w:hint="eastAsia"/>
          <w:sz w:val="28"/>
          <w:szCs w:val="28"/>
        </w:rPr>
        <w:t>。具体</w:t>
      </w:r>
      <w:r>
        <w:rPr>
          <w:rFonts w:ascii="仿宋_GB2312" w:eastAsia="仿宋_GB2312" w:hAnsi="Times New Roman"/>
          <w:sz w:val="28"/>
          <w:szCs w:val="28"/>
        </w:rPr>
        <w:t>数据表和对比图如下：</w:t>
      </w:r>
    </w:p>
    <w:p w:rsidR="00547EBC" w:rsidRDefault="00697F10" w:rsidP="00547EBC">
      <w:pPr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68825" cy="2740025"/>
            <wp:effectExtent l="0" t="0" r="22225" b="22225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7EBC" w:rsidRDefault="00547EBC" w:rsidP="00547EBC">
      <w:pPr>
        <w:spacing w:beforeLines="50" w:before="120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bCs/>
          <w:sz w:val="24"/>
          <w:szCs w:val="24"/>
        </w:rPr>
        <w:t>图4 前四</w:t>
      </w:r>
      <w:r>
        <w:rPr>
          <w:rFonts w:ascii="仿宋_GB2312" w:eastAsia="仿宋_GB2312" w:hAnsi="Times New Roman"/>
          <w:bCs/>
          <w:sz w:val="24"/>
          <w:szCs w:val="24"/>
        </w:rPr>
        <w:t>周与</w:t>
      </w:r>
      <w:r>
        <w:rPr>
          <w:rFonts w:ascii="仿宋_GB2312" w:eastAsia="仿宋_GB2312" w:hAnsi="Times New Roman" w:hint="eastAsia"/>
          <w:bCs/>
          <w:sz w:val="24"/>
          <w:szCs w:val="24"/>
        </w:rPr>
        <w:t>近</w:t>
      </w:r>
      <w:r>
        <w:rPr>
          <w:rFonts w:ascii="仿宋_GB2312" w:eastAsia="仿宋_GB2312" w:hAnsi="Times New Roman"/>
          <w:bCs/>
          <w:sz w:val="24"/>
          <w:szCs w:val="24"/>
        </w:rPr>
        <w:t>四周外聘教师调停课人次情况对比</w:t>
      </w:r>
    </w:p>
    <w:p w:rsidR="00547EBC" w:rsidRDefault="00547EBC" w:rsidP="00547EBC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本统计期</w:t>
      </w:r>
      <w:r>
        <w:rPr>
          <w:rFonts w:ascii="仿宋_GB2312" w:eastAsia="仿宋_GB2312" w:hAnsi="Times New Roman"/>
          <w:sz w:val="28"/>
          <w:szCs w:val="28"/>
        </w:rPr>
        <w:t>内</w:t>
      </w:r>
      <w:r>
        <w:rPr>
          <w:rFonts w:ascii="仿宋_GB2312" w:eastAsia="仿宋_GB2312" w:hAnsi="Times New Roman" w:hint="eastAsia"/>
          <w:sz w:val="28"/>
          <w:szCs w:val="28"/>
        </w:rPr>
        <w:t>仅有1名《大学英语</w:t>
      </w:r>
      <w:r>
        <w:rPr>
          <w:rFonts w:ascii="仿宋_GB2312" w:eastAsia="仿宋_GB2312" w:hAnsi="Times New Roman"/>
          <w:sz w:val="28"/>
          <w:szCs w:val="28"/>
        </w:rPr>
        <w:t>》</w:t>
      </w:r>
      <w:r>
        <w:rPr>
          <w:rFonts w:ascii="仿宋_GB2312" w:eastAsia="仿宋_GB2312" w:hAnsi="Times New Roman" w:hint="eastAsia"/>
          <w:sz w:val="28"/>
          <w:szCs w:val="28"/>
        </w:rPr>
        <w:t>课</w:t>
      </w:r>
      <w:r>
        <w:rPr>
          <w:rFonts w:ascii="仿宋_GB2312" w:eastAsia="仿宋_GB2312" w:hAnsi="Times New Roman"/>
          <w:sz w:val="28"/>
          <w:szCs w:val="28"/>
        </w:rPr>
        <w:t>程的外聘教师</w:t>
      </w:r>
      <w:r>
        <w:rPr>
          <w:rFonts w:ascii="仿宋_GB2312" w:eastAsia="仿宋_GB2312" w:hAnsi="Times New Roman" w:hint="eastAsia"/>
          <w:sz w:val="28"/>
          <w:szCs w:val="28"/>
        </w:rPr>
        <w:t>因设计艺术学院</w:t>
      </w:r>
      <w:r>
        <w:rPr>
          <w:rFonts w:ascii="仿宋_GB2312" w:eastAsia="仿宋_GB2312" w:hAnsi="Times New Roman"/>
          <w:sz w:val="28"/>
          <w:szCs w:val="28"/>
        </w:rPr>
        <w:t>学生需要外出实习</w:t>
      </w:r>
      <w:r>
        <w:rPr>
          <w:rFonts w:ascii="仿宋_GB2312" w:eastAsia="仿宋_GB2312" w:hAnsi="Times New Roman" w:hint="eastAsia"/>
          <w:sz w:val="28"/>
          <w:szCs w:val="28"/>
        </w:rPr>
        <w:t>而</w:t>
      </w:r>
      <w:r>
        <w:rPr>
          <w:rFonts w:ascii="仿宋_GB2312" w:eastAsia="仿宋_GB2312" w:hAnsi="Times New Roman"/>
          <w:sz w:val="28"/>
          <w:szCs w:val="28"/>
        </w:rPr>
        <w:t>申请调课</w:t>
      </w:r>
      <w:r>
        <w:rPr>
          <w:rFonts w:ascii="仿宋_GB2312" w:eastAsia="仿宋_GB2312" w:hAnsi="Times New Roman" w:hint="eastAsia"/>
          <w:sz w:val="28"/>
          <w:szCs w:val="28"/>
        </w:rPr>
        <w:t>。其余院（部）没有</w:t>
      </w:r>
      <w:r>
        <w:rPr>
          <w:rFonts w:ascii="仿宋_GB2312" w:eastAsia="仿宋_GB2312" w:hAnsi="Times New Roman"/>
          <w:sz w:val="28"/>
          <w:szCs w:val="28"/>
        </w:rPr>
        <w:t>外聘教师调课情况。</w:t>
      </w:r>
    </w:p>
    <w:p w:rsidR="00547EBC" w:rsidRPr="00E26087" w:rsidRDefault="00547EBC" w:rsidP="00547EBC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547EBC" w:rsidRPr="00E26087">
          <w:footerReference w:type="default" r:id="rId16"/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547EBC" w:rsidRPr="00610608" w:rsidRDefault="00547EBC" w:rsidP="00547EBC">
      <w:pPr>
        <w:jc w:val="left"/>
        <w:rPr>
          <w:sz w:val="24"/>
          <w:szCs w:val="24"/>
        </w:rPr>
      </w:pP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 xml:space="preserve">附件1            </w:t>
      </w:r>
      <w:r w:rsidR="00610608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</w:t>
      </w:r>
      <w:r w:rsidR="00400F90" w:rsidRPr="00610608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</w:t>
      </w:r>
      <w:r w:rsidR="00E03A55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</w:t>
      </w:r>
      <w:r w:rsidRPr="00610608">
        <w:rPr>
          <w:rFonts w:ascii="宋体" w:hAnsi="宋体" w:cs="宋体"/>
          <w:b/>
          <w:bCs/>
          <w:kern w:val="0"/>
          <w:sz w:val="24"/>
          <w:szCs w:val="24"/>
        </w:rPr>
        <w:t xml:space="preserve">  </w:t>
      </w: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>第十三至第十六教学周各院（部）调停代课情况表</w:t>
      </w:r>
    </w:p>
    <w:tbl>
      <w:tblPr>
        <w:tblW w:w="4965" w:type="pct"/>
        <w:tblInd w:w="108" w:type="dxa"/>
        <w:tblLook w:val="0000" w:firstRow="0" w:lastRow="0" w:firstColumn="0" w:lastColumn="0" w:noHBand="0" w:noVBand="0"/>
      </w:tblPr>
      <w:tblGrid>
        <w:gridCol w:w="1367"/>
        <w:gridCol w:w="1007"/>
        <w:gridCol w:w="1567"/>
        <w:gridCol w:w="814"/>
        <w:gridCol w:w="1174"/>
        <w:gridCol w:w="835"/>
        <w:gridCol w:w="948"/>
        <w:gridCol w:w="939"/>
        <w:gridCol w:w="939"/>
        <w:gridCol w:w="939"/>
        <w:gridCol w:w="951"/>
        <w:gridCol w:w="939"/>
        <w:gridCol w:w="939"/>
        <w:gridCol w:w="939"/>
        <w:gridCol w:w="948"/>
      </w:tblGrid>
      <w:tr w:rsidR="00547EBC" w:rsidRPr="00DE1A84" w:rsidTr="00400F90">
        <w:trPr>
          <w:trHeight w:val="298"/>
        </w:trPr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院（部）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分类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承担教学任务教师数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调课</w:t>
            </w:r>
          </w:p>
        </w:tc>
        <w:tc>
          <w:tcPr>
            <w:tcW w:w="12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代课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换地点</w:t>
            </w:r>
          </w:p>
        </w:tc>
      </w:tr>
      <w:tr w:rsidR="00547EBC" w:rsidRPr="00DE1A84" w:rsidTr="00400F90">
        <w:trPr>
          <w:trHeight w:val="387"/>
        </w:trPr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占比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占比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人次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学时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占比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人次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学时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400F90" w:rsidP="00400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政治</w:t>
            </w:r>
            <w:r w:rsidRPr="00DE1A84">
              <w:rPr>
                <w:rFonts w:ascii="宋体" w:hAnsi="宋体" w:cs="宋体"/>
                <w:kern w:val="0"/>
                <w:szCs w:val="21"/>
              </w:rPr>
              <w:t>与公共管理</w:t>
            </w:r>
            <w:r w:rsidR="00547EBC" w:rsidRPr="00DE1A8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11%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400F90" w:rsidP="00400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经济</w:t>
            </w:r>
            <w:r w:rsidRPr="00DE1A84">
              <w:rPr>
                <w:rFonts w:ascii="宋体" w:hAnsi="宋体" w:cs="宋体"/>
                <w:kern w:val="0"/>
                <w:szCs w:val="21"/>
              </w:rPr>
              <w:t>管理</w:t>
            </w:r>
            <w:r w:rsidRPr="00DE1A8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7%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89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400F90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信息工程</w:t>
            </w:r>
            <w:r w:rsidR="00547EBC" w:rsidRPr="00DE1A8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jc w:val="center"/>
              <w:rPr>
                <w:rFonts w:ascii="宋体" w:hAnsi="宋体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3%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jc w:val="center"/>
              <w:rPr>
                <w:rFonts w:ascii="宋体" w:hAnsi="宋体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jc w:val="center"/>
              <w:rPr>
                <w:rFonts w:ascii="宋体" w:hAnsi="宋体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会计学院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7%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400F90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文化传播</w:t>
            </w:r>
            <w:r w:rsidR="00547EBC" w:rsidRPr="00DE1A8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10%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5%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16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</w:t>
            </w:r>
            <w:r w:rsidR="00400F90" w:rsidRPr="00DE1A84">
              <w:rPr>
                <w:rFonts w:ascii="宋体" w:hAnsi="宋体" w:cs="宋体" w:hint="eastAsia"/>
                <w:kern w:val="0"/>
                <w:szCs w:val="21"/>
              </w:rPr>
              <w:t>国</w:t>
            </w:r>
            <w:r w:rsidRPr="00DE1A84">
              <w:rPr>
                <w:rFonts w:ascii="宋体" w:hAnsi="宋体" w:cs="宋体" w:hint="eastAsia"/>
                <w:kern w:val="0"/>
                <w:szCs w:val="21"/>
              </w:rPr>
              <w:t>语学院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旅游学院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14%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舞蹈学院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400F90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设计艺术</w:t>
            </w:r>
            <w:r w:rsidR="00547EBC" w:rsidRPr="00DE1A84"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12%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9%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37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外请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5</w:t>
            </w: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思政部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体育部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547EBC" w:rsidRPr="00DE1A84" w:rsidTr="00400F90">
        <w:trPr>
          <w:trHeight w:val="345"/>
        </w:trPr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党政部门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EBC" w:rsidRPr="00DE1A84" w:rsidRDefault="00547EBC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400F90" w:rsidRPr="00DE1A84" w:rsidTr="00400F90">
        <w:trPr>
          <w:trHeight w:val="345"/>
        </w:trPr>
        <w:tc>
          <w:tcPr>
            <w:tcW w:w="7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F90" w:rsidRPr="00DE1A84" w:rsidRDefault="00400F90" w:rsidP="00400F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总 计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A84">
              <w:rPr>
                <w:rFonts w:ascii="宋体" w:hAnsi="宋体" w:cs="宋体" w:hint="eastAsia"/>
                <w:kern w:val="0"/>
                <w:szCs w:val="21"/>
              </w:rPr>
              <w:t>351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6%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81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3%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F90" w:rsidRPr="00DE1A84" w:rsidRDefault="00400F90" w:rsidP="000261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DE1A84">
              <w:rPr>
                <w:rFonts w:ascii="宋体" w:hAnsi="宋体"/>
                <w:szCs w:val="21"/>
              </w:rPr>
              <w:t>152</w:t>
            </w:r>
          </w:p>
        </w:tc>
      </w:tr>
    </w:tbl>
    <w:p w:rsidR="00331055" w:rsidRDefault="00331055">
      <w:pPr>
        <w:widowControl/>
        <w:jc w:val="left"/>
        <w:sectPr w:rsidR="00331055" w:rsidSect="00400F90">
          <w:footerReference w:type="default" r:id="rId17"/>
          <w:pgSz w:w="16838" w:h="11906" w:orient="landscape"/>
          <w:pgMar w:top="1134" w:right="851" w:bottom="851" w:left="851" w:header="851" w:footer="992" w:gutter="0"/>
          <w:cols w:space="425"/>
          <w:docGrid w:type="lines" w:linePitch="312"/>
        </w:sectPr>
      </w:pPr>
    </w:p>
    <w:p w:rsidR="00E362B8" w:rsidRDefault="00E362B8" w:rsidP="00E362B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362B8">
        <w:rPr>
          <w:rFonts w:ascii="方正小标宋简体" w:eastAsia="方正小标宋简体" w:hAnsi="宋体" w:hint="eastAsia"/>
          <w:sz w:val="44"/>
          <w:szCs w:val="44"/>
        </w:rPr>
        <w:lastRenderedPageBreak/>
        <w:t>2016届本科生毕业论文（设计）</w:t>
      </w:r>
    </w:p>
    <w:p w:rsidR="00E362B8" w:rsidRPr="00E362B8" w:rsidRDefault="00E362B8" w:rsidP="00E362B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362B8">
        <w:rPr>
          <w:rFonts w:ascii="方正小标宋简体" w:eastAsia="方正小标宋简体" w:hAnsi="宋体" w:hint="eastAsia"/>
          <w:sz w:val="44"/>
          <w:szCs w:val="44"/>
        </w:rPr>
        <w:t>学术不端检测情况</w:t>
      </w:r>
    </w:p>
    <w:p w:rsidR="00E362B8" w:rsidRDefault="00E362B8" w:rsidP="00E362B8">
      <w:pPr>
        <w:tabs>
          <w:tab w:val="left" w:pos="210"/>
          <w:tab w:val="left" w:pos="1260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E362B8">
        <w:rPr>
          <w:rFonts w:ascii="仿宋_GB2312" w:eastAsia="仿宋_GB2312" w:hAnsi="Times New Roman" w:hint="eastAsia"/>
          <w:sz w:val="28"/>
          <w:szCs w:val="28"/>
        </w:rPr>
        <w:t>为确保本科毕业论文（设计）质量，我校使用</w:t>
      </w:r>
      <w:r w:rsidR="009A2249">
        <w:rPr>
          <w:rFonts w:ascii="仿宋_GB2312" w:eastAsia="仿宋_GB2312" w:hAnsi="Times New Roman" w:hint="eastAsia"/>
          <w:sz w:val="28"/>
          <w:szCs w:val="28"/>
        </w:rPr>
        <w:t>“</w:t>
      </w:r>
      <w:r w:rsidRPr="00E362B8">
        <w:rPr>
          <w:rFonts w:ascii="仿宋_GB2312" w:eastAsia="仿宋_GB2312" w:hAnsi="Times New Roman" w:hint="eastAsia"/>
          <w:sz w:val="28"/>
          <w:szCs w:val="28"/>
        </w:rPr>
        <w:t>中国知网”大学生论文管理系统对2016届14个本科专业（不含西班牙语专业）的1129篇本科毕业论文（设计）进行了学术不端检测，有1007篇论文首次检测后合格，109篇论文整改后检测合格，13篇论文做延期答辩处理。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362B8">
        <w:rPr>
          <w:rFonts w:ascii="黑体" w:eastAsia="黑体" w:hAnsi="黑体" w:hint="eastAsia"/>
          <w:sz w:val="28"/>
          <w:szCs w:val="28"/>
        </w:rPr>
        <w:t>一、学术不端检测基本情况</w:t>
      </w:r>
    </w:p>
    <w:p w:rsidR="00E362B8" w:rsidRPr="0009725C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9725C">
        <w:rPr>
          <w:rFonts w:ascii="仿宋_GB2312" w:eastAsia="仿宋_GB2312" w:hAnsi="Times New Roman" w:hint="eastAsia"/>
          <w:sz w:val="28"/>
          <w:szCs w:val="28"/>
        </w:rPr>
        <w:t>首次检测文字复制比小于30%（合格）的论文有1007篇，占比89.2%。首次检测不合格的论文（设计）中，文字复制比30%-50%的有71篇，占比6.29%；文字复制比50%-70%的有39篇，占比3.45%；文字复制比超过70%的共有12篇，占比1.19%。相关学院根据《山东青年政治学院本科生毕业论文（设计）学术不端检测实施办法》（山青院教字</w:t>
      </w:r>
      <w:r w:rsidR="0009725C" w:rsidRPr="0009725C">
        <w:rPr>
          <w:rFonts w:ascii="微软雅黑" w:eastAsia="微软雅黑" w:hAnsi="微软雅黑" w:cs="微软雅黑" w:hint="eastAsia"/>
          <w:sz w:val="28"/>
          <w:szCs w:val="28"/>
        </w:rPr>
        <w:t>﹝</w:t>
      </w:r>
      <w:r w:rsidRPr="0009725C">
        <w:rPr>
          <w:rFonts w:ascii="仿宋_GB2312" w:eastAsia="仿宋_GB2312" w:hAnsi="Times New Roman" w:hint="eastAsia"/>
          <w:sz w:val="28"/>
          <w:szCs w:val="28"/>
        </w:rPr>
        <w:t>2015</w:t>
      </w:r>
      <w:r w:rsidR="0009725C" w:rsidRPr="0009725C">
        <w:rPr>
          <w:rFonts w:ascii="微软雅黑" w:eastAsia="微软雅黑" w:hAnsi="微软雅黑" w:cs="微软雅黑" w:hint="eastAsia"/>
          <w:sz w:val="28"/>
          <w:szCs w:val="28"/>
        </w:rPr>
        <w:t>﹞</w:t>
      </w:r>
      <w:r w:rsidRPr="0009725C">
        <w:rPr>
          <w:rFonts w:ascii="仿宋_GB2312" w:eastAsia="仿宋_GB2312" w:hAnsi="Times New Roman" w:hint="eastAsia"/>
          <w:sz w:val="28"/>
          <w:szCs w:val="28"/>
        </w:rPr>
        <w:t>75号）规定，对照全文检测报告单对这些论文进行了认定并提出处理意见，学校对相关学院认定程序是否规范、依据是否合理、处理意见是否合规进行审核后，形成以下结论：文字复制比小于70%的110篇论文（设计）进行整改，文字复制比70%以上的12篇论文（设计）做延期答辩处理。经相关学院认定和学校审核，110篇整改论文（设计）中，1篇做延期答辩处理，其他合格。</w:t>
      </w:r>
    </w:p>
    <w:p w:rsidR="00E362B8" w:rsidRPr="0009725C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9725C">
        <w:rPr>
          <w:rFonts w:ascii="仿宋_GB2312" w:eastAsia="仿宋_GB2312" w:hAnsi="Times New Roman" w:hint="eastAsia"/>
          <w:sz w:val="28"/>
          <w:szCs w:val="28"/>
        </w:rPr>
        <w:t>首次检测各学院毕业论文（设计）合格率、整改后检测比例、延期答辩比例分布见图1。</w:t>
      </w:r>
      <w:r w:rsidR="003C77C1" w:rsidRPr="0009725C">
        <w:rPr>
          <w:rFonts w:ascii="仿宋_GB2312" w:eastAsia="仿宋_GB2312" w:hAnsi="Times New Roman" w:hint="eastAsia"/>
          <w:sz w:val="28"/>
          <w:szCs w:val="28"/>
        </w:rPr>
        <w:t>设计艺术学院首次检测合格率最高，外国语学院、文化传播学院、经济管理学院首次检测合格率高于全校平均水平。</w:t>
      </w:r>
    </w:p>
    <w:p w:rsidR="009A2249" w:rsidRPr="009A2249" w:rsidRDefault="00697F10" w:rsidP="009A224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076825" cy="2790825"/>
            <wp:effectExtent l="0" t="0" r="9525" b="9525"/>
            <wp:docPr id="5" name="图片 1" descr="G43KM(3U}P2G@NCLRKWPJ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G43KM(3U}P2G@NCLRKWPJNM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B8" w:rsidRPr="009A2249" w:rsidRDefault="00E362B8" w:rsidP="00E362B8">
      <w:pPr>
        <w:tabs>
          <w:tab w:val="left" w:pos="210"/>
          <w:tab w:val="left" w:pos="1260"/>
        </w:tabs>
        <w:spacing w:line="360" w:lineRule="auto"/>
        <w:jc w:val="center"/>
        <w:rPr>
          <w:rFonts w:ascii="宋体" w:hAnsi="宋体"/>
          <w:szCs w:val="21"/>
        </w:rPr>
      </w:pPr>
      <w:r w:rsidRPr="009A2249">
        <w:rPr>
          <w:rFonts w:ascii="宋体" w:hAnsi="宋体" w:hint="eastAsia"/>
          <w:szCs w:val="21"/>
        </w:rPr>
        <w:t>图1</w:t>
      </w:r>
      <w:r w:rsidR="009A2249" w:rsidRPr="009A2249">
        <w:rPr>
          <w:rFonts w:ascii="宋体" w:hAnsi="宋体"/>
          <w:szCs w:val="21"/>
        </w:rPr>
        <w:t xml:space="preserve"> </w:t>
      </w:r>
      <w:r w:rsidR="009A2249" w:rsidRPr="009A2249">
        <w:rPr>
          <w:rFonts w:ascii="宋体" w:hAnsi="宋体" w:hint="eastAsia"/>
          <w:szCs w:val="21"/>
        </w:rPr>
        <w:t>各</w:t>
      </w:r>
      <w:r w:rsidR="009A2249" w:rsidRPr="009A2249">
        <w:rPr>
          <w:rFonts w:ascii="宋体" w:hAnsi="宋体"/>
          <w:szCs w:val="21"/>
        </w:rPr>
        <w:t>学院首次检测合格率</w:t>
      </w:r>
      <w:r w:rsidR="009A2249" w:rsidRPr="009A2249">
        <w:rPr>
          <w:rFonts w:ascii="宋体" w:hAnsi="宋体" w:hint="eastAsia"/>
          <w:szCs w:val="21"/>
        </w:rPr>
        <w:t>、</w:t>
      </w:r>
      <w:r w:rsidR="009A2249" w:rsidRPr="009A2249">
        <w:rPr>
          <w:rFonts w:ascii="宋体" w:hAnsi="宋体"/>
          <w:szCs w:val="21"/>
        </w:rPr>
        <w:t>整改后检测比例和延期答辩比例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E362B8">
        <w:rPr>
          <w:rFonts w:ascii="黑体" w:eastAsia="黑体" w:hAnsi="黑体" w:hint="eastAsia"/>
          <w:sz w:val="28"/>
          <w:szCs w:val="28"/>
        </w:rPr>
        <w:t>二、存在的问题和解决措施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E362B8">
        <w:rPr>
          <w:rFonts w:ascii="仿宋_GB2312" w:eastAsia="仿宋_GB2312" w:hAnsi="Times New Roman" w:hint="eastAsia"/>
          <w:sz w:val="28"/>
          <w:szCs w:val="28"/>
        </w:rPr>
        <w:t>本届毕业论文（设计）学术不端检测工作中存在</w:t>
      </w:r>
      <w:r w:rsidR="0009725C">
        <w:rPr>
          <w:rFonts w:ascii="仿宋_GB2312" w:eastAsia="仿宋_GB2312" w:hAnsi="Times New Roman" w:hint="eastAsia"/>
          <w:sz w:val="28"/>
          <w:szCs w:val="28"/>
        </w:rPr>
        <w:t>的</w:t>
      </w:r>
      <w:r w:rsidRPr="00E362B8">
        <w:rPr>
          <w:rFonts w:ascii="仿宋_GB2312" w:eastAsia="仿宋_GB2312" w:hAnsi="Times New Roman" w:hint="eastAsia"/>
          <w:sz w:val="28"/>
          <w:szCs w:val="28"/>
        </w:rPr>
        <w:t>主要问题有：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1.</w:t>
      </w:r>
      <w:r w:rsidRPr="00E362B8">
        <w:rPr>
          <w:rFonts w:ascii="仿宋_GB2312" w:eastAsia="仿宋_GB2312" w:hAnsi="Times New Roman" w:hint="eastAsia"/>
          <w:sz w:val="28"/>
          <w:szCs w:val="28"/>
        </w:rPr>
        <w:t>论文格式和命名不符合检测系统要求。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2.</w:t>
      </w:r>
      <w:r w:rsidRPr="00E362B8">
        <w:rPr>
          <w:rFonts w:ascii="仿宋_GB2312" w:eastAsia="仿宋_GB2312" w:hAnsi="Times New Roman" w:hint="eastAsia"/>
          <w:sz w:val="28"/>
          <w:szCs w:val="28"/>
        </w:rPr>
        <w:t>提交检测的论文（设计）不是最终定稿。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E362B8">
        <w:rPr>
          <w:rFonts w:ascii="仿宋_GB2312" w:eastAsia="仿宋_GB2312" w:hAnsi="Times New Roman" w:hint="eastAsia"/>
          <w:sz w:val="28"/>
          <w:szCs w:val="28"/>
        </w:rPr>
        <w:t>以上问题均会影响检测结果的准确性，主要原因是部分学院检测系统操作人员严谨、细致程度不够，对检测系统操作不熟悉。</w:t>
      </w:r>
    </w:p>
    <w:p w:rsidR="00E362B8" w:rsidRPr="00E362B8" w:rsidRDefault="00E362B8" w:rsidP="00E362B8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E362B8">
        <w:rPr>
          <w:rFonts w:ascii="仿宋_GB2312" w:eastAsia="仿宋_GB2312" w:hAnsi="Times New Roman" w:hint="eastAsia"/>
          <w:sz w:val="28"/>
          <w:szCs w:val="28"/>
        </w:rPr>
        <w:t>针对以上问题，学校将加强学术不端检测系统的使用培训并实现学校毕业论文（设计）管理系统和学术不端检测系统的数据对接，从技术上解决提交检测论文（设计）不是最终定稿的问题。</w:t>
      </w:r>
    </w:p>
    <w:p w:rsidR="008F6CBE" w:rsidRPr="009A052E" w:rsidRDefault="00E362B8" w:rsidP="008F6CBE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br w:type="page"/>
      </w:r>
      <w:r w:rsidR="008F6CBE" w:rsidRPr="009A052E">
        <w:rPr>
          <w:rFonts w:ascii="方正小标宋简体" w:eastAsia="方正小标宋简体" w:hAnsi="宋体"/>
          <w:sz w:val="44"/>
          <w:szCs w:val="44"/>
        </w:rPr>
        <w:lastRenderedPageBreak/>
        <w:t>201</w:t>
      </w:r>
      <w:r w:rsidR="008F6CBE">
        <w:rPr>
          <w:rFonts w:ascii="方正小标宋简体" w:eastAsia="方正小标宋简体" w:hAnsi="宋体" w:hint="eastAsia"/>
          <w:sz w:val="44"/>
          <w:szCs w:val="44"/>
        </w:rPr>
        <w:t>3级</w:t>
      </w:r>
      <w:r w:rsidR="008F6CBE" w:rsidRPr="009A052E">
        <w:rPr>
          <w:rFonts w:ascii="方正小标宋简体" w:eastAsia="方正小标宋简体" w:hAnsi="宋体"/>
          <w:sz w:val="44"/>
          <w:szCs w:val="44"/>
        </w:rPr>
        <w:t>专科</w:t>
      </w:r>
      <w:r w:rsidR="008F6CBE">
        <w:rPr>
          <w:rFonts w:ascii="方正小标宋简体" w:eastAsia="方正小标宋简体" w:hAnsi="宋体" w:hint="eastAsia"/>
          <w:sz w:val="44"/>
          <w:szCs w:val="44"/>
        </w:rPr>
        <w:t>学生</w:t>
      </w:r>
      <w:r w:rsidR="008F6CBE" w:rsidRPr="009A052E">
        <w:rPr>
          <w:rFonts w:ascii="方正小标宋简体" w:eastAsia="方正小标宋简体" w:hAnsi="宋体"/>
          <w:sz w:val="44"/>
          <w:szCs w:val="44"/>
        </w:rPr>
        <w:t>专升本情况</w:t>
      </w:r>
    </w:p>
    <w:p w:rsidR="008F6CBE" w:rsidRDefault="008F6CBE" w:rsidP="008F6CBE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2013级专科学生专升本录取工作已经结束，根据</w:t>
      </w:r>
      <w:r w:rsidR="001D1ECE">
        <w:rPr>
          <w:rFonts w:ascii="仿宋_GB2312" w:eastAsia="仿宋_GB2312" w:hAnsi="Times New Roman" w:hint="eastAsia"/>
          <w:sz w:val="28"/>
          <w:szCs w:val="28"/>
        </w:rPr>
        <w:t>学</w:t>
      </w:r>
      <w:r>
        <w:rPr>
          <w:rFonts w:ascii="仿宋_GB2312" w:eastAsia="仿宋_GB2312" w:hAnsi="Times New Roman" w:hint="eastAsia"/>
          <w:sz w:val="28"/>
          <w:szCs w:val="28"/>
        </w:rPr>
        <w:t>校专科学生报考情况，现将报考数据统计如下：</w:t>
      </w:r>
    </w:p>
    <w:p w:rsidR="008F6CBE" w:rsidRPr="00E00CDE" w:rsidRDefault="008F6CBE" w:rsidP="008F6CBE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572D06">
        <w:rPr>
          <w:rFonts w:ascii="黑体" w:eastAsia="黑体" w:hAnsi="黑体" w:hint="eastAsia"/>
          <w:sz w:val="28"/>
          <w:szCs w:val="28"/>
        </w:rPr>
        <w:t>一、全校专升本总体情况</w:t>
      </w:r>
    </w:p>
    <w:p w:rsidR="008F6CBE" w:rsidRPr="009A052E" w:rsidRDefault="008F6CBE" w:rsidP="008F6CBE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9A052E">
        <w:rPr>
          <w:rFonts w:ascii="仿宋_GB2312" w:eastAsia="仿宋_GB2312" w:hAnsi="Times New Roman"/>
          <w:sz w:val="28"/>
          <w:szCs w:val="28"/>
        </w:rPr>
        <w:t>201</w:t>
      </w:r>
      <w:r>
        <w:rPr>
          <w:rFonts w:ascii="仿宋_GB2312" w:eastAsia="仿宋_GB2312" w:hAnsi="Times New Roman" w:hint="eastAsia"/>
          <w:sz w:val="28"/>
          <w:szCs w:val="28"/>
        </w:rPr>
        <w:t>3级</w:t>
      </w:r>
      <w:r>
        <w:rPr>
          <w:rFonts w:ascii="仿宋_GB2312" w:eastAsia="仿宋_GB2312" w:hAnsi="Times New Roman"/>
          <w:sz w:val="28"/>
          <w:szCs w:val="28"/>
        </w:rPr>
        <w:t>专科</w:t>
      </w:r>
      <w:r>
        <w:rPr>
          <w:rFonts w:ascii="仿宋_GB2312" w:eastAsia="仿宋_GB2312" w:hAnsi="Times New Roman" w:hint="eastAsia"/>
          <w:sz w:val="28"/>
          <w:szCs w:val="28"/>
        </w:rPr>
        <w:t>在校生总数</w:t>
      </w:r>
      <w:r w:rsidRPr="009A052E">
        <w:rPr>
          <w:rFonts w:ascii="仿宋_GB2312" w:eastAsia="仿宋_GB2312" w:hAnsi="Times New Roman"/>
          <w:sz w:val="28"/>
          <w:szCs w:val="28"/>
        </w:rPr>
        <w:t>为</w:t>
      </w:r>
      <w:r w:rsidRPr="00EF51C8">
        <w:rPr>
          <w:rFonts w:ascii="仿宋_GB2312" w:eastAsia="仿宋_GB2312" w:hAnsi="Times New Roman"/>
          <w:sz w:val="28"/>
          <w:szCs w:val="28"/>
        </w:rPr>
        <w:t>223</w:t>
      </w:r>
      <w:r w:rsidRPr="00EF51C8">
        <w:rPr>
          <w:rFonts w:ascii="仿宋_GB2312" w:eastAsia="仿宋_GB2312" w:hAnsi="Times New Roman" w:hint="eastAsia"/>
          <w:sz w:val="28"/>
          <w:szCs w:val="28"/>
        </w:rPr>
        <w:t>3</w:t>
      </w:r>
      <w:r w:rsidRPr="00EF51C8">
        <w:rPr>
          <w:rFonts w:ascii="仿宋_GB2312" w:eastAsia="仿宋_GB2312" w:hAnsi="Times New Roman"/>
          <w:sz w:val="28"/>
          <w:szCs w:val="28"/>
        </w:rPr>
        <w:t>人，比去年减少23</w:t>
      </w:r>
      <w:r w:rsidRPr="00EF51C8">
        <w:rPr>
          <w:rFonts w:ascii="仿宋_GB2312" w:eastAsia="仿宋_GB2312" w:hAnsi="Times New Roman" w:hint="eastAsia"/>
          <w:sz w:val="28"/>
          <w:szCs w:val="28"/>
        </w:rPr>
        <w:t>6</w:t>
      </w:r>
      <w:r w:rsidRPr="00EF51C8">
        <w:rPr>
          <w:rFonts w:ascii="仿宋_GB2312" w:eastAsia="仿宋_GB2312" w:hAnsi="Times New Roman"/>
          <w:sz w:val="28"/>
          <w:szCs w:val="28"/>
        </w:rPr>
        <w:t>人；专升本</w:t>
      </w:r>
      <w:r w:rsidRPr="00EF51C8">
        <w:rPr>
          <w:rFonts w:ascii="仿宋_GB2312" w:eastAsia="仿宋_GB2312" w:hAnsi="Times New Roman" w:hint="eastAsia"/>
          <w:sz w:val="28"/>
          <w:szCs w:val="28"/>
        </w:rPr>
        <w:t>录取</w:t>
      </w:r>
      <w:r w:rsidRPr="00EF51C8">
        <w:rPr>
          <w:rFonts w:ascii="仿宋_GB2312" w:eastAsia="仿宋_GB2312" w:hAnsi="Times New Roman"/>
          <w:sz w:val="28"/>
          <w:szCs w:val="28"/>
        </w:rPr>
        <w:t>人数为288人，比去年增加10人；</w:t>
      </w:r>
      <w:r w:rsidRPr="00EF51C8">
        <w:rPr>
          <w:rFonts w:ascii="仿宋_GB2312" w:eastAsia="仿宋_GB2312" w:hAnsi="Times New Roman" w:hint="eastAsia"/>
          <w:sz w:val="28"/>
          <w:szCs w:val="28"/>
        </w:rPr>
        <w:t>录取人数占2013级</w:t>
      </w:r>
      <w:r>
        <w:rPr>
          <w:rFonts w:ascii="仿宋_GB2312" w:eastAsia="仿宋_GB2312" w:hAnsi="Times New Roman" w:hint="eastAsia"/>
          <w:sz w:val="28"/>
          <w:szCs w:val="28"/>
        </w:rPr>
        <w:t>在校生人数</w:t>
      </w:r>
      <w:r w:rsidRPr="00EF51C8">
        <w:rPr>
          <w:rFonts w:ascii="仿宋_GB2312" w:eastAsia="仿宋_GB2312" w:hAnsi="Times New Roman" w:hint="eastAsia"/>
          <w:sz w:val="28"/>
          <w:szCs w:val="28"/>
        </w:rPr>
        <w:t>比例为12.90%，比去年增加1.64个百分点；</w:t>
      </w:r>
      <w:r w:rsidRPr="009A052E">
        <w:rPr>
          <w:rFonts w:ascii="仿宋_GB2312" w:eastAsia="仿宋_GB2312" w:hAnsi="Times New Roman" w:hint="eastAsia"/>
          <w:sz w:val="28"/>
          <w:szCs w:val="28"/>
        </w:rPr>
        <w:t>录取人数占报考人数比例为41.56%，比去年减少7.38个百分点。</w:t>
      </w:r>
      <w:r>
        <w:rPr>
          <w:rFonts w:ascii="仿宋_GB2312" w:eastAsia="仿宋_GB2312" w:hAnsi="Times New Roman" w:hint="eastAsia"/>
          <w:sz w:val="28"/>
          <w:szCs w:val="28"/>
        </w:rPr>
        <w:t>全校专升本录取人数、录取人数占在校生人数比例同比增加，</w:t>
      </w:r>
      <w:r w:rsidRPr="000E44E3">
        <w:rPr>
          <w:rFonts w:ascii="仿宋_GB2312" w:eastAsia="仿宋_GB2312" w:hAnsi="Times New Roman" w:hint="eastAsia"/>
          <w:sz w:val="28"/>
          <w:szCs w:val="28"/>
        </w:rPr>
        <w:t>录取人数占报考人数比例同比减少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8F6CBE" w:rsidRPr="00572D06" w:rsidRDefault="008F6CBE" w:rsidP="008F6CBE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572D06">
        <w:rPr>
          <w:rFonts w:ascii="黑体" w:eastAsia="黑体" w:hAnsi="黑体" w:hint="eastAsia"/>
          <w:sz w:val="28"/>
          <w:szCs w:val="28"/>
        </w:rPr>
        <w:t>二、各学院专升本情况</w:t>
      </w:r>
    </w:p>
    <w:p w:rsidR="008F6CBE" w:rsidRPr="009A052E" w:rsidRDefault="008F6CBE" w:rsidP="008F6CBE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9A052E">
        <w:rPr>
          <w:rFonts w:ascii="仿宋_GB2312" w:eastAsia="仿宋_GB2312" w:hAnsi="Times New Roman" w:hint="eastAsia"/>
          <w:sz w:val="28"/>
          <w:szCs w:val="28"/>
        </w:rPr>
        <w:t>201</w:t>
      </w:r>
      <w:r>
        <w:rPr>
          <w:rFonts w:ascii="仿宋_GB2312" w:eastAsia="仿宋_GB2312" w:hAnsi="Times New Roman" w:hint="eastAsia"/>
          <w:sz w:val="28"/>
          <w:szCs w:val="28"/>
        </w:rPr>
        <w:t>3级专科</w:t>
      </w:r>
      <w:r w:rsidRPr="009A052E">
        <w:rPr>
          <w:rFonts w:ascii="仿宋_GB2312" w:eastAsia="仿宋_GB2312" w:hAnsi="Times New Roman" w:hint="eastAsia"/>
          <w:sz w:val="28"/>
          <w:szCs w:val="28"/>
        </w:rPr>
        <w:t>专业共25个，</w:t>
      </w:r>
      <w:r>
        <w:rPr>
          <w:rFonts w:ascii="仿宋_GB2312" w:eastAsia="仿宋_GB2312" w:hAnsi="Times New Roman" w:hint="eastAsia"/>
          <w:sz w:val="28"/>
          <w:szCs w:val="28"/>
        </w:rPr>
        <w:t>专升本录取人数较多的为会计、商务英语、国际经济与贸易、市场营销等专业，录取人数占在校生人数比例较高的专业有计算机应用技术、计算机信息管理、金融保险、商务英语、商务日语。</w:t>
      </w:r>
      <w:r w:rsidRPr="009A052E">
        <w:rPr>
          <w:rFonts w:ascii="仿宋_GB2312" w:eastAsia="仿宋_GB2312" w:hAnsi="Times New Roman" w:hint="eastAsia"/>
          <w:sz w:val="28"/>
          <w:szCs w:val="28"/>
        </w:rPr>
        <w:t>专升</w:t>
      </w:r>
      <w:r w:rsidRPr="000E44E3">
        <w:rPr>
          <w:rFonts w:ascii="仿宋_GB2312" w:eastAsia="仿宋_GB2312" w:hAnsi="Times New Roman" w:hint="eastAsia"/>
          <w:sz w:val="28"/>
          <w:szCs w:val="28"/>
        </w:rPr>
        <w:t>本录取人数占报考人数比例</w:t>
      </w:r>
      <w:r>
        <w:rPr>
          <w:rFonts w:ascii="仿宋_GB2312" w:eastAsia="仿宋_GB2312" w:hAnsi="Times New Roman" w:hint="eastAsia"/>
          <w:sz w:val="28"/>
          <w:szCs w:val="28"/>
        </w:rPr>
        <w:t>超过</w:t>
      </w:r>
      <w:r w:rsidRPr="009A052E">
        <w:rPr>
          <w:rFonts w:ascii="仿宋_GB2312" w:eastAsia="仿宋_GB2312" w:hAnsi="Times New Roman" w:hint="eastAsia"/>
          <w:sz w:val="28"/>
          <w:szCs w:val="28"/>
        </w:rPr>
        <w:t>全校平均水平的学院有信息工程学院、文化传播学院、经济管理学院、外国语学院、会计学院</w:t>
      </w:r>
      <w:r>
        <w:rPr>
          <w:rFonts w:ascii="仿宋_GB2312" w:eastAsia="仿宋_GB2312" w:hAnsi="Times New Roman" w:hint="eastAsia"/>
          <w:sz w:val="28"/>
          <w:szCs w:val="28"/>
        </w:rPr>
        <w:t>，录取人数占在校生人数比例超过全校平均水平（12.90%）的学院有4个，依次为信息工程学院（26.80%）、会计学院（18.14%）、文化传播学院（16.07%）、外国语学院（13.89%）。</w:t>
      </w:r>
      <w:r w:rsidR="00610608" w:rsidRPr="00610608">
        <w:rPr>
          <w:rFonts w:ascii="仿宋_GB2312" w:eastAsia="仿宋_GB2312" w:hAnsi="Times New Roman" w:hint="eastAsia"/>
          <w:sz w:val="28"/>
          <w:szCs w:val="28"/>
        </w:rPr>
        <w:t>各</w:t>
      </w:r>
      <w:r w:rsidR="00610608">
        <w:rPr>
          <w:rFonts w:ascii="仿宋_GB2312" w:eastAsia="仿宋_GB2312" w:hAnsi="Times New Roman" w:hint="eastAsia"/>
          <w:sz w:val="28"/>
          <w:szCs w:val="28"/>
        </w:rPr>
        <w:t>学院专升本具体</w:t>
      </w:r>
      <w:r w:rsidR="00610608" w:rsidRPr="00610608">
        <w:rPr>
          <w:rFonts w:ascii="仿宋_GB2312" w:eastAsia="仿宋_GB2312" w:hAnsi="Times New Roman" w:hint="eastAsia"/>
          <w:sz w:val="28"/>
          <w:szCs w:val="28"/>
        </w:rPr>
        <w:t>情况见附件1。</w:t>
      </w:r>
    </w:p>
    <w:p w:rsidR="008F6CBE" w:rsidRPr="001822EE" w:rsidRDefault="008F6CBE" w:rsidP="008F6CBE"/>
    <w:p w:rsidR="008F6CBE" w:rsidRPr="007A4498" w:rsidRDefault="008F6CBE" w:rsidP="008F6CBE"/>
    <w:p w:rsidR="008F6CBE" w:rsidRPr="00DF1651" w:rsidRDefault="008F6CBE" w:rsidP="008F6CBE"/>
    <w:p w:rsidR="008F6CBE" w:rsidRDefault="008F6CBE" w:rsidP="008F6CBE">
      <w:pPr>
        <w:sectPr w:rsidR="008F6CBE" w:rsidSect="00026181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8F6CBE" w:rsidRPr="00610608" w:rsidRDefault="00610608" w:rsidP="00610608">
      <w:pPr>
        <w:jc w:val="left"/>
        <w:rPr>
          <w:b/>
          <w:sz w:val="24"/>
          <w:szCs w:val="24"/>
        </w:rPr>
      </w:pP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 xml:space="preserve">附件1                          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      </w:t>
      </w:r>
      <w:r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     </w:t>
      </w:r>
      <w:r w:rsidR="008F6CBE" w:rsidRPr="00610608">
        <w:rPr>
          <w:rFonts w:ascii="宋体" w:hAnsi="宋体" w:cs="宋体" w:hint="eastAsia"/>
          <w:b/>
          <w:bCs/>
          <w:kern w:val="0"/>
          <w:sz w:val="24"/>
          <w:szCs w:val="24"/>
        </w:rPr>
        <w:t>各学院专升本情况统计表</w:t>
      </w:r>
    </w:p>
    <w:tbl>
      <w:tblPr>
        <w:tblW w:w="15258" w:type="dxa"/>
        <w:jc w:val="center"/>
        <w:tblLayout w:type="fixed"/>
        <w:tblLook w:val="04A0" w:firstRow="1" w:lastRow="0" w:firstColumn="1" w:lastColumn="0" w:noHBand="0" w:noVBand="1"/>
      </w:tblPr>
      <w:tblGrid>
        <w:gridCol w:w="1310"/>
        <w:gridCol w:w="2268"/>
        <w:gridCol w:w="992"/>
        <w:gridCol w:w="709"/>
        <w:gridCol w:w="682"/>
        <w:gridCol w:w="1417"/>
        <w:gridCol w:w="1416"/>
        <w:gridCol w:w="1417"/>
        <w:gridCol w:w="993"/>
        <w:gridCol w:w="992"/>
        <w:gridCol w:w="1572"/>
        <w:gridCol w:w="1490"/>
      </w:tblGrid>
      <w:tr w:rsidR="008F6CBE" w:rsidRPr="00EF51C8" w:rsidTr="00B33306">
        <w:trPr>
          <w:cantSplit/>
          <w:trHeight w:hRule="exact" w:val="580"/>
          <w:jc w:val="center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学院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2013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级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在校生人数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报考人数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录取人数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录取人数占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在校生人数</w:t>
            </w: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比例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录取人数占报考人数比例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学院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2013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级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在校生人数</w:t>
            </w: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学院报考人数合计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学院录取人数合计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学院录取人数占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在校生人数</w:t>
            </w: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比例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学院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录取人数占报考人数比例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政治与公共管理学院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社会工作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sz w:val="18"/>
                <w:szCs w:val="18"/>
              </w:rPr>
              <w:t>6.78%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44.44%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6.57%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18.06%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法律事务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6.4</w:t>
            </w:r>
            <w:r w:rsidRPr="00BB150F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BB150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14.29%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报关与国际货运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13.33%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44.44%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10.76%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49.55%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物业管理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2.56%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100.00%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金融保险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25.93%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63.64%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10.13%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45.71%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国际商务(国际物流方向)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国际商务(中英合作)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12.60%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53.33%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27.45%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70.00%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ind w:leftChars="-119" w:left="-250"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26.80%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66.67%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26.09%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63.16%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会计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18.14%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42.13%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18.14%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42.13%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文化传播学院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文秘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16.36%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64.29%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16.07%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64.29%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主持与播音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应用德语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10.53%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33.33%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13.89%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42.37%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应用法语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应用韩语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3.85%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33.33%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22.22%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47.37%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商务日语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21.05%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44.44%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应用阿拉伯语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——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1.49%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7.69%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1.49%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7.69%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舞蹈学院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0.00%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0.00%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设计艺术学院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艺术设计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4.07%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33.33%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4.31%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32.14%</w:t>
            </w: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DE1A84" w:rsidRDefault="008F6CBE" w:rsidP="00B33306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艺术设计(形象设计方向)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9.09%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8F6CBE" w:rsidRPr="00EF51C8" w:rsidTr="00B33306">
        <w:trPr>
          <w:cantSplit/>
          <w:trHeight w:hRule="exact" w:val="312"/>
          <w:jc w:val="center"/>
        </w:trPr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DE1A84" w:rsidRDefault="008F6CBE" w:rsidP="00026181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DE1A84">
              <w:rPr>
                <w:rFonts w:ascii="宋体" w:hAnsi="宋体"/>
                <w:kern w:val="0"/>
                <w:sz w:val="18"/>
                <w:szCs w:val="18"/>
              </w:rPr>
              <w:t>服装设计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BB150F" w:rsidRDefault="008F6CBE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B150F">
              <w:rPr>
                <w:rFonts w:ascii="Times New Roman" w:hAnsi="Times New Roman"/>
                <w:sz w:val="18"/>
                <w:szCs w:val="18"/>
              </w:rPr>
              <w:t>3.85%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20.00%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CBE" w:rsidRPr="00EF51C8" w:rsidRDefault="008F6CBE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CBE" w:rsidRPr="00EF51C8" w:rsidRDefault="008F6CBE" w:rsidP="00026181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B33306" w:rsidRPr="00EF51C8" w:rsidTr="00B33306">
        <w:trPr>
          <w:cantSplit/>
          <w:trHeight w:hRule="exact" w:val="312"/>
          <w:jc w:val="center"/>
        </w:trPr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06" w:rsidRPr="00EF51C8" w:rsidRDefault="00B33306" w:rsidP="00B33306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总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 </w:t>
            </w: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223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306" w:rsidRPr="00EF51C8" w:rsidRDefault="00B33306" w:rsidP="00026181">
            <w:pPr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sz w:val="18"/>
                <w:szCs w:val="18"/>
              </w:rPr>
              <w:t>12.</w:t>
            </w:r>
            <w:r w:rsidRPr="00EF51C8">
              <w:rPr>
                <w:rFonts w:ascii="Times New Roman" w:hAnsi="Times New Roman" w:hint="eastAsia"/>
                <w:sz w:val="18"/>
                <w:szCs w:val="18"/>
              </w:rPr>
              <w:t>90</w:t>
            </w:r>
            <w:r w:rsidRPr="00EF51C8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41.56%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223</w:t>
            </w: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 w:hint="eastAsia"/>
                <w:kern w:val="0"/>
                <w:sz w:val="18"/>
                <w:szCs w:val="18"/>
              </w:rPr>
              <w:t>12.90%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306" w:rsidRPr="00EF51C8" w:rsidRDefault="00B33306" w:rsidP="00026181">
            <w:pPr>
              <w:widowControl/>
              <w:jc w:val="righ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F51C8">
              <w:rPr>
                <w:rFonts w:ascii="Times New Roman" w:hAnsi="Times New Roman"/>
                <w:kern w:val="0"/>
                <w:sz w:val="18"/>
                <w:szCs w:val="18"/>
              </w:rPr>
              <w:t>41.56%</w:t>
            </w:r>
          </w:p>
        </w:tc>
      </w:tr>
    </w:tbl>
    <w:p w:rsidR="00437BD1" w:rsidRDefault="00437BD1" w:rsidP="008F6CBE">
      <w:pPr>
        <w:widowControl/>
        <w:spacing w:line="200" w:lineRule="exact"/>
        <w:jc w:val="left"/>
        <w:sectPr w:rsidR="00437BD1" w:rsidSect="008138F8">
          <w:footerReference w:type="default" r:id="rId19"/>
          <w:pgSz w:w="16838" w:h="11906" w:orient="landscape"/>
          <w:pgMar w:top="1134" w:right="851" w:bottom="851" w:left="851" w:header="851" w:footer="992" w:gutter="0"/>
          <w:pgNumType w:fmt="numberInDash"/>
          <w:cols w:space="425"/>
          <w:docGrid w:linePitch="312"/>
        </w:sectPr>
      </w:pPr>
    </w:p>
    <w:p w:rsidR="008F6CBE" w:rsidRDefault="008F6CBE" w:rsidP="008F6CBE">
      <w:pPr>
        <w:widowControl/>
        <w:spacing w:line="200" w:lineRule="exact"/>
        <w:jc w:val="left"/>
      </w:pPr>
    </w:p>
    <w:p w:rsidR="00331055" w:rsidRDefault="0033105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461FD5" w:rsidRDefault="00461FD5">
      <w:pPr>
        <w:spacing w:line="520" w:lineRule="exact"/>
        <w:ind w:firstLineChars="200" w:firstLine="560"/>
        <w:rPr>
          <w:rFonts w:ascii="仿宋_GB2312" w:eastAsia="仿宋_GB2312" w:hAnsi="Times New Roman"/>
          <w:sz w:val="28"/>
          <w:szCs w:val="28"/>
        </w:rPr>
      </w:pPr>
    </w:p>
    <w:p w:rsidR="00331055" w:rsidRDefault="009447D8">
      <w:pPr>
        <w:rPr>
          <w:rFonts w:ascii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（本期发至校领导、</w:t>
      </w:r>
      <w:r>
        <w:rPr>
          <w:rFonts w:ascii="楷体_GB2312" w:eastAsia="楷体_GB2312"/>
          <w:spacing w:val="-4"/>
          <w:sz w:val="28"/>
          <w:szCs w:val="28"/>
        </w:rPr>
        <w:t>办公室</w:t>
      </w:r>
      <w:r>
        <w:rPr>
          <w:rFonts w:ascii="楷体_GB2312" w:eastAsia="楷体_GB2312" w:hint="eastAsia"/>
          <w:spacing w:val="-4"/>
          <w:sz w:val="28"/>
          <w:szCs w:val="28"/>
        </w:rPr>
        <w:t>（发展规划处）</w:t>
      </w:r>
      <w:r>
        <w:rPr>
          <w:rFonts w:ascii="楷体_GB2312" w:eastAsia="楷体_GB2312"/>
          <w:spacing w:val="-4"/>
          <w:sz w:val="28"/>
          <w:szCs w:val="28"/>
        </w:rPr>
        <w:t>、</w:t>
      </w:r>
      <w:r>
        <w:rPr>
          <w:rFonts w:ascii="楷体_GB2312" w:eastAsia="楷体_GB2312" w:hint="eastAsia"/>
          <w:spacing w:val="-4"/>
          <w:sz w:val="28"/>
          <w:szCs w:val="28"/>
        </w:rPr>
        <w:t>宣传</w:t>
      </w:r>
      <w:r>
        <w:rPr>
          <w:rFonts w:ascii="楷体_GB2312" w:eastAsia="楷体_GB2312"/>
          <w:spacing w:val="-4"/>
          <w:sz w:val="28"/>
          <w:szCs w:val="28"/>
        </w:rPr>
        <w:t>部、学生工作</w:t>
      </w:r>
      <w:r>
        <w:rPr>
          <w:rFonts w:ascii="楷体_GB2312" w:eastAsia="楷体_GB2312" w:hint="eastAsia"/>
          <w:spacing w:val="-4"/>
          <w:sz w:val="28"/>
          <w:szCs w:val="28"/>
        </w:rPr>
        <w:t>部</w:t>
      </w:r>
      <w:r>
        <w:rPr>
          <w:rFonts w:ascii="楷体_GB2312" w:eastAsia="楷体_GB2312"/>
          <w:spacing w:val="-4"/>
          <w:sz w:val="28"/>
          <w:szCs w:val="28"/>
        </w:rPr>
        <w:t>（处</w:t>
      </w:r>
      <w:r>
        <w:rPr>
          <w:rFonts w:ascii="楷体_GB2312" w:eastAsia="楷体_GB2312" w:hint="eastAsia"/>
          <w:spacing w:val="-4"/>
          <w:sz w:val="28"/>
          <w:szCs w:val="28"/>
        </w:rPr>
        <w:t>）</w:t>
      </w:r>
      <w:r>
        <w:rPr>
          <w:rFonts w:ascii="楷体_GB2312" w:eastAsia="楷体_GB2312"/>
          <w:spacing w:val="-4"/>
          <w:sz w:val="28"/>
          <w:szCs w:val="28"/>
        </w:rPr>
        <w:t>、</w:t>
      </w:r>
      <w:r>
        <w:rPr>
          <w:rFonts w:ascii="楷体_GB2312" w:eastAsia="楷体_GB2312" w:hint="eastAsia"/>
          <w:spacing w:val="-4"/>
          <w:sz w:val="28"/>
          <w:szCs w:val="28"/>
        </w:rPr>
        <w:t>人事处</w:t>
      </w:r>
      <w:r>
        <w:rPr>
          <w:rFonts w:ascii="楷体_GB2312" w:eastAsia="楷体_GB2312"/>
          <w:spacing w:val="-4"/>
          <w:sz w:val="28"/>
          <w:szCs w:val="28"/>
        </w:rPr>
        <w:t>、教务处、教学质量监控与</w:t>
      </w:r>
      <w:r>
        <w:rPr>
          <w:rFonts w:ascii="楷体_GB2312" w:eastAsia="楷体_GB2312" w:hint="eastAsia"/>
          <w:spacing w:val="-4"/>
          <w:sz w:val="28"/>
          <w:szCs w:val="28"/>
        </w:rPr>
        <w:t>评估</w:t>
      </w:r>
      <w:r>
        <w:rPr>
          <w:rFonts w:ascii="楷体_GB2312" w:eastAsia="楷体_GB2312"/>
          <w:spacing w:val="-4"/>
          <w:sz w:val="28"/>
          <w:szCs w:val="28"/>
        </w:rPr>
        <w:t>中心、</w:t>
      </w:r>
      <w:r>
        <w:rPr>
          <w:rFonts w:ascii="楷体_GB2312" w:eastAsia="楷体_GB2312" w:hint="eastAsia"/>
          <w:spacing w:val="-4"/>
          <w:sz w:val="28"/>
          <w:szCs w:val="28"/>
        </w:rPr>
        <w:t>招生就业处、</w:t>
      </w:r>
      <w:r>
        <w:rPr>
          <w:rFonts w:ascii="楷体_GB2312" w:eastAsia="楷体_GB2312"/>
          <w:spacing w:val="-4"/>
          <w:sz w:val="28"/>
          <w:szCs w:val="28"/>
        </w:rPr>
        <w:t>实验设备管理处、</w:t>
      </w:r>
      <w:r>
        <w:rPr>
          <w:rFonts w:ascii="楷体_GB2312" w:eastAsia="楷体_GB2312" w:hint="eastAsia"/>
          <w:spacing w:val="-4"/>
          <w:sz w:val="28"/>
          <w:szCs w:val="28"/>
        </w:rPr>
        <w:t>各教学单位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pPr w:leftFromText="180" w:rightFromText="180" w:vertAnchor="text" w:horzAnchor="margin" w:tblpY="61"/>
        <w:tblW w:w="85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331055">
        <w:trPr>
          <w:trHeight w:val="680"/>
        </w:trPr>
        <w:tc>
          <w:tcPr>
            <w:tcW w:w="8528" w:type="dxa"/>
          </w:tcPr>
          <w:p w:rsidR="00331055" w:rsidRDefault="009447D8" w:rsidP="00437BD1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教务处                      2016年</w:t>
            </w:r>
            <w:r w:rsidR="00461FD5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437BD1">
              <w:rPr>
                <w:rFonts w:ascii="仿宋" w:eastAsia="仿宋" w:hAnsi="仿宋"/>
                <w:sz w:val="28"/>
                <w:szCs w:val="28"/>
              </w:rPr>
              <w:t>29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日印发，共30份。</w:t>
            </w:r>
          </w:p>
        </w:tc>
      </w:tr>
    </w:tbl>
    <w:p w:rsidR="00331055" w:rsidRDefault="00331055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sectPr w:rsidR="00331055" w:rsidSect="008F6CBE"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B4C" w:rsidRDefault="007A2B4C">
      <w:r>
        <w:separator/>
      </w:r>
    </w:p>
  </w:endnote>
  <w:endnote w:type="continuationSeparator" w:id="0">
    <w:p w:rsidR="007A2B4C" w:rsidRDefault="007A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00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5"/>
      <w:jc w:val="center"/>
    </w:pPr>
  </w:p>
  <w:p w:rsidR="00026181" w:rsidRDefault="000261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97F10" w:rsidRPr="00697F10">
      <w:rPr>
        <w:noProof/>
        <w:sz w:val="28"/>
        <w:szCs w:val="28"/>
        <w:lang w:val="zh-CN"/>
      </w:rPr>
      <w:t>-</w:t>
    </w:r>
    <w:r w:rsidR="00697F10">
      <w:rPr>
        <w:noProof/>
        <w:sz w:val="28"/>
        <w:szCs w:val="28"/>
      </w:rPr>
      <w:t xml:space="preserve"> 3 -</w:t>
    </w:r>
    <w:r>
      <w:rPr>
        <w:sz w:val="28"/>
        <w:szCs w:val="28"/>
      </w:rPr>
      <w:fldChar w:fldCharType="end"/>
    </w:r>
  </w:p>
  <w:p w:rsidR="00026181" w:rsidRDefault="000261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97F10" w:rsidRPr="00697F10">
      <w:rPr>
        <w:noProof/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</w:p>
  <w:p w:rsidR="00026181" w:rsidRDefault="00026181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97F10" w:rsidRPr="00697F10">
      <w:rPr>
        <w:noProof/>
        <w:sz w:val="28"/>
        <w:szCs w:val="28"/>
        <w:lang w:val="zh-CN"/>
      </w:rPr>
      <w:t>-</w:t>
    </w:r>
    <w:r w:rsidR="00697F10">
      <w:rPr>
        <w:noProof/>
        <w:sz w:val="28"/>
        <w:szCs w:val="28"/>
      </w:rPr>
      <w:t xml:space="preserve"> 9 -</w:t>
    </w:r>
    <w:r>
      <w:rPr>
        <w:sz w:val="28"/>
        <w:szCs w:val="28"/>
      </w:rPr>
      <w:fldChar w:fldCharType="end"/>
    </w:r>
  </w:p>
  <w:p w:rsidR="00026181" w:rsidRDefault="000261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B4C" w:rsidRDefault="007A2B4C">
      <w:r>
        <w:separator/>
      </w:r>
    </w:p>
  </w:footnote>
  <w:footnote w:type="continuationSeparator" w:id="0">
    <w:p w:rsidR="007A2B4C" w:rsidRDefault="007A2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181" w:rsidRDefault="0002618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1B1"/>
    <w:multiLevelType w:val="hybridMultilevel"/>
    <w:tmpl w:val="E10662BA"/>
    <w:lvl w:ilvl="0" w:tplc="9FEA711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strokecolor="#446188">
      <v:fill angle="90" type="gradient">
        <o:fill v:ext="view" type="gradientUnscaled"/>
      </v:fill>
      <v:stroke color="#446188"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DD"/>
    <w:rsid w:val="00026181"/>
    <w:rsid w:val="00065DAD"/>
    <w:rsid w:val="0009725C"/>
    <w:rsid w:val="000B1730"/>
    <w:rsid w:val="000D1A64"/>
    <w:rsid w:val="000E685A"/>
    <w:rsid w:val="0017022F"/>
    <w:rsid w:val="001A291F"/>
    <w:rsid w:val="001D1ECE"/>
    <w:rsid w:val="001F19E3"/>
    <w:rsid w:val="00235C2D"/>
    <w:rsid w:val="00240B26"/>
    <w:rsid w:val="00240C15"/>
    <w:rsid w:val="00270175"/>
    <w:rsid w:val="00291FB2"/>
    <w:rsid w:val="002A330E"/>
    <w:rsid w:val="00301CDD"/>
    <w:rsid w:val="003054CB"/>
    <w:rsid w:val="00306D50"/>
    <w:rsid w:val="00331055"/>
    <w:rsid w:val="00342386"/>
    <w:rsid w:val="00387C15"/>
    <w:rsid w:val="003C44DC"/>
    <w:rsid w:val="003C6D93"/>
    <w:rsid w:val="003C7048"/>
    <w:rsid w:val="003C77C1"/>
    <w:rsid w:val="003D4545"/>
    <w:rsid w:val="003D4AB1"/>
    <w:rsid w:val="00400F90"/>
    <w:rsid w:val="00437BD1"/>
    <w:rsid w:val="0044678B"/>
    <w:rsid w:val="00461FD5"/>
    <w:rsid w:val="00484BDF"/>
    <w:rsid w:val="004C2649"/>
    <w:rsid w:val="004E1C60"/>
    <w:rsid w:val="00526F71"/>
    <w:rsid w:val="00534CF4"/>
    <w:rsid w:val="005436A9"/>
    <w:rsid w:val="00547EBC"/>
    <w:rsid w:val="00574A15"/>
    <w:rsid w:val="00610608"/>
    <w:rsid w:val="006200F9"/>
    <w:rsid w:val="00633333"/>
    <w:rsid w:val="00697F10"/>
    <w:rsid w:val="0077475A"/>
    <w:rsid w:val="007A2B4C"/>
    <w:rsid w:val="007C5928"/>
    <w:rsid w:val="008016B8"/>
    <w:rsid w:val="008138F8"/>
    <w:rsid w:val="008B153A"/>
    <w:rsid w:val="008F6CBE"/>
    <w:rsid w:val="00932621"/>
    <w:rsid w:val="009447D8"/>
    <w:rsid w:val="00964CDE"/>
    <w:rsid w:val="00985025"/>
    <w:rsid w:val="009A2249"/>
    <w:rsid w:val="00A326C8"/>
    <w:rsid w:val="00A34F76"/>
    <w:rsid w:val="00A84AAC"/>
    <w:rsid w:val="00B2353F"/>
    <w:rsid w:val="00B33306"/>
    <w:rsid w:val="00B4688B"/>
    <w:rsid w:val="00B92AFF"/>
    <w:rsid w:val="00BA0D34"/>
    <w:rsid w:val="00BD611E"/>
    <w:rsid w:val="00C471CE"/>
    <w:rsid w:val="00C975D8"/>
    <w:rsid w:val="00CD4CB8"/>
    <w:rsid w:val="00D11813"/>
    <w:rsid w:val="00D12451"/>
    <w:rsid w:val="00D75E3B"/>
    <w:rsid w:val="00DA2C63"/>
    <w:rsid w:val="00DE1A84"/>
    <w:rsid w:val="00DF479C"/>
    <w:rsid w:val="00E03A55"/>
    <w:rsid w:val="00E235C3"/>
    <w:rsid w:val="00E31244"/>
    <w:rsid w:val="00E362B8"/>
    <w:rsid w:val="00E62BF0"/>
    <w:rsid w:val="00EA2021"/>
    <w:rsid w:val="00EE055B"/>
    <w:rsid w:val="00F46BA5"/>
    <w:rsid w:val="00F557EF"/>
    <w:rsid w:val="00F90AEA"/>
    <w:rsid w:val="00F91914"/>
    <w:rsid w:val="47AE2968"/>
    <w:rsid w:val="4E8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446188">
      <v:fill angle="90" type="gradient">
        <o:fill v:ext="view" type="gradientUnscaled"/>
      </v:fill>
      <v:stroke color="#446188" weight="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Char3">
    <w:name w:val="批注主题 Char"/>
    <w:link w:val="1"/>
    <w:semiHidden/>
    <w:rPr>
      <w:b/>
      <w:bCs/>
      <w:kern w:val="2"/>
      <w:sz w:val="21"/>
      <w:szCs w:val="22"/>
    </w:rPr>
  </w:style>
  <w:style w:type="paragraph" w:customStyle="1" w:styleId="1">
    <w:name w:val="批注主题1"/>
    <w:basedOn w:val="a3"/>
    <w:next w:val="a3"/>
    <w:link w:val="Char3"/>
    <w:rPr>
      <w:b/>
      <w:bCs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1">
    <w:name w:val="页脚 Char"/>
    <w:link w:val="a5"/>
    <w:semiHidden/>
    <w:rPr>
      <w:rFonts w:cs="Times New Roman"/>
      <w:sz w:val="18"/>
      <w:szCs w:val="18"/>
    </w:rPr>
  </w:style>
  <w:style w:type="character" w:customStyle="1" w:styleId="Char2">
    <w:name w:val="页眉 Char"/>
    <w:link w:val="a6"/>
    <w:semiHidden/>
    <w:rPr>
      <w:rFonts w:cs="Times New Roman"/>
      <w:sz w:val="18"/>
      <w:szCs w:val="18"/>
    </w:rPr>
  </w:style>
  <w:style w:type="paragraph" w:customStyle="1" w:styleId="10">
    <w:name w:val="修订1"/>
    <w:rPr>
      <w:kern w:val="2"/>
      <w:sz w:val="21"/>
      <w:szCs w:val="22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12">
    <w:name w:val="批注引用1"/>
    <w:qFormat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uiPriority w:val="99"/>
    <w:unhideWhenUsed/>
    <w:rPr>
      <w:sz w:val="21"/>
      <w:szCs w:val="21"/>
    </w:rPr>
  </w:style>
  <w:style w:type="character" w:customStyle="1" w:styleId="Char3">
    <w:name w:val="批注主题 Char"/>
    <w:link w:val="1"/>
    <w:semiHidden/>
    <w:rPr>
      <w:b/>
      <w:bCs/>
      <w:kern w:val="2"/>
      <w:sz w:val="21"/>
      <w:szCs w:val="22"/>
    </w:rPr>
  </w:style>
  <w:style w:type="paragraph" w:customStyle="1" w:styleId="1">
    <w:name w:val="批注主题1"/>
    <w:basedOn w:val="a3"/>
    <w:next w:val="a3"/>
    <w:link w:val="Char3"/>
    <w:rPr>
      <w:b/>
      <w:bCs/>
    </w:rPr>
  </w:style>
  <w:style w:type="character" w:customStyle="1" w:styleId="Char">
    <w:name w:val="批注文字 Char"/>
    <w:link w:val="a3"/>
    <w:semiHidden/>
    <w:rPr>
      <w:kern w:val="2"/>
      <w:sz w:val="21"/>
      <w:szCs w:val="22"/>
    </w:rPr>
  </w:style>
  <w:style w:type="character" w:customStyle="1" w:styleId="Char0">
    <w:name w:val="批注框文本 Char"/>
    <w:link w:val="a4"/>
    <w:semiHidden/>
    <w:qFormat/>
    <w:rPr>
      <w:kern w:val="2"/>
      <w:sz w:val="18"/>
      <w:szCs w:val="18"/>
    </w:rPr>
  </w:style>
  <w:style w:type="character" w:customStyle="1" w:styleId="Char1">
    <w:name w:val="页脚 Char"/>
    <w:link w:val="a5"/>
    <w:semiHidden/>
    <w:rPr>
      <w:rFonts w:cs="Times New Roman"/>
      <w:sz w:val="18"/>
      <w:szCs w:val="18"/>
    </w:rPr>
  </w:style>
  <w:style w:type="character" w:customStyle="1" w:styleId="Char2">
    <w:name w:val="页眉 Char"/>
    <w:link w:val="a6"/>
    <w:semiHidden/>
    <w:rPr>
      <w:rFonts w:cs="Times New Roman"/>
      <w:sz w:val="18"/>
      <w:szCs w:val="18"/>
    </w:rPr>
  </w:style>
  <w:style w:type="paragraph" w:customStyle="1" w:styleId="10">
    <w:name w:val="修订1"/>
    <w:rPr>
      <w:kern w:val="2"/>
      <w:sz w:val="21"/>
      <w:szCs w:val="22"/>
    </w:rPr>
  </w:style>
  <w:style w:type="paragraph" w:customStyle="1" w:styleId="11">
    <w:name w:val="列出段落1"/>
    <w:basedOn w:val="a"/>
    <w:pPr>
      <w:ind w:firstLineChars="200" w:firstLine="420"/>
    </w:pPr>
  </w:style>
  <w:style w:type="character" w:customStyle="1" w:styleId="12">
    <w:name w:val="批注引用1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13-16&#21608;&#35843;&#20572;&#35838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13-16&#21608;&#35843;&#20572;&#35838;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13-16&#21608;&#35843;&#20572;&#35838;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Lenovo\Desktop\13-16&#21608;&#35843;&#20572;&#35838;.xls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人次对比!$A$3</c:f>
              <c:strCache>
                <c:ptCount val="1"/>
                <c:pt idx="0">
                  <c:v>前四周</c:v>
                </c:pt>
              </c:strCache>
            </c:strRef>
          </c:tx>
          <c:invertIfNegative val="0"/>
          <c:cat>
            <c:strRef>
              <c:f>人次对比!$B$2:$D$2</c:f>
              <c:strCache>
                <c:ptCount val="3"/>
                <c:pt idx="0">
                  <c:v>调课人次</c:v>
                </c:pt>
                <c:pt idx="1">
                  <c:v>代课人次</c:v>
                </c:pt>
                <c:pt idx="2">
                  <c:v>换地点人次</c:v>
                </c:pt>
              </c:strCache>
            </c:strRef>
          </c:cat>
          <c:val>
            <c:numRef>
              <c:f>人次对比!$B$3:$D$3</c:f>
              <c:numCache>
                <c:formatCode>General</c:formatCode>
                <c:ptCount val="3"/>
                <c:pt idx="0">
                  <c:v>56</c:v>
                </c:pt>
                <c:pt idx="1">
                  <c:v>19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人次对比!$A$4</c:f>
              <c:strCache>
                <c:ptCount val="1"/>
                <c:pt idx="0">
                  <c:v>近四周</c:v>
                </c:pt>
              </c:strCache>
            </c:strRef>
          </c:tx>
          <c:invertIfNegative val="0"/>
          <c:cat>
            <c:strRef>
              <c:f>人次对比!$B$2:$D$2</c:f>
              <c:strCache>
                <c:ptCount val="3"/>
                <c:pt idx="0">
                  <c:v>调课人次</c:v>
                </c:pt>
                <c:pt idx="1">
                  <c:v>代课人次</c:v>
                </c:pt>
                <c:pt idx="2">
                  <c:v>换地点人次</c:v>
                </c:pt>
              </c:strCache>
            </c:strRef>
          </c:cat>
          <c:val>
            <c:numRef>
              <c:f>人次对比!$B$4:$D$4</c:f>
              <c:numCache>
                <c:formatCode>General</c:formatCode>
                <c:ptCount val="3"/>
                <c:pt idx="0">
                  <c:v>23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064704"/>
        <c:axId val="191101568"/>
      </c:barChart>
      <c:catAx>
        <c:axId val="191064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101568"/>
        <c:crosses val="autoZero"/>
        <c:auto val="1"/>
        <c:lblAlgn val="ctr"/>
        <c:lblOffset val="100"/>
        <c:noMultiLvlLbl val="0"/>
      </c:catAx>
      <c:valAx>
        <c:axId val="191101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06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调课!$J$1:$J$2</c:f>
              <c:strCache>
                <c:ptCount val="2"/>
                <c:pt idx="0">
                  <c:v>调课</c:v>
                </c:pt>
                <c:pt idx="1">
                  <c:v>人数</c:v>
                </c:pt>
              </c:strCache>
            </c:strRef>
          </c:tx>
          <c:invertIfNegative val="0"/>
          <c:cat>
            <c:strRef>
              <c:f>调课!$I$3:$I$14</c:f>
              <c:strCache>
                <c:ptCount val="12"/>
                <c:pt idx="0">
                  <c:v>文传学院</c:v>
                </c:pt>
                <c:pt idx="1">
                  <c:v>设艺学院</c:v>
                </c:pt>
                <c:pt idx="2">
                  <c:v>政管学院</c:v>
                </c:pt>
                <c:pt idx="3">
                  <c:v>经管学院</c:v>
                </c:pt>
                <c:pt idx="4">
                  <c:v>信工学院</c:v>
                </c:pt>
                <c:pt idx="5">
                  <c:v>旅游学院</c:v>
                </c:pt>
                <c:pt idx="6">
                  <c:v>党政部门</c:v>
                </c:pt>
                <c:pt idx="7">
                  <c:v>外语学院</c:v>
                </c:pt>
                <c:pt idx="8">
                  <c:v>舞蹈学院</c:v>
                </c:pt>
                <c:pt idx="9">
                  <c:v>会计学院</c:v>
                </c:pt>
                <c:pt idx="10">
                  <c:v>思政部</c:v>
                </c:pt>
                <c:pt idx="11">
                  <c:v>体育部</c:v>
                </c:pt>
              </c:strCache>
            </c:strRef>
          </c:cat>
          <c:val>
            <c:numRef>
              <c:f>调课!$J$3:$J$14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调课!$K$1:$K$2</c:f>
              <c:strCache>
                <c:ptCount val="2"/>
                <c:pt idx="0">
                  <c:v>调课</c:v>
                </c:pt>
                <c:pt idx="1">
                  <c:v>人次</c:v>
                </c:pt>
              </c:strCache>
            </c:strRef>
          </c:tx>
          <c:invertIfNegative val="0"/>
          <c:cat>
            <c:strRef>
              <c:f>调课!$I$3:$I$14</c:f>
              <c:strCache>
                <c:ptCount val="12"/>
                <c:pt idx="0">
                  <c:v>文传学院</c:v>
                </c:pt>
                <c:pt idx="1">
                  <c:v>设艺学院</c:v>
                </c:pt>
                <c:pt idx="2">
                  <c:v>政管学院</c:v>
                </c:pt>
                <c:pt idx="3">
                  <c:v>经管学院</c:v>
                </c:pt>
                <c:pt idx="4">
                  <c:v>信工学院</c:v>
                </c:pt>
                <c:pt idx="5">
                  <c:v>旅游学院</c:v>
                </c:pt>
                <c:pt idx="6">
                  <c:v>党政部门</c:v>
                </c:pt>
                <c:pt idx="7">
                  <c:v>外语学院</c:v>
                </c:pt>
                <c:pt idx="8">
                  <c:v>舞蹈学院</c:v>
                </c:pt>
                <c:pt idx="9">
                  <c:v>会计学院</c:v>
                </c:pt>
                <c:pt idx="10">
                  <c:v>思政部</c:v>
                </c:pt>
                <c:pt idx="11">
                  <c:v>体育部</c:v>
                </c:pt>
              </c:strCache>
            </c:strRef>
          </c:cat>
          <c:val>
            <c:numRef>
              <c:f>调课!$K$3:$K$14</c:f>
              <c:numCache>
                <c:formatCode>General</c:formatCode>
                <c:ptCount val="12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163392"/>
        <c:axId val="263176960"/>
      </c:barChart>
      <c:catAx>
        <c:axId val="19116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3176960"/>
        <c:crosses val="autoZero"/>
        <c:auto val="1"/>
        <c:lblAlgn val="ctr"/>
        <c:lblOffset val="100"/>
        <c:noMultiLvlLbl val="0"/>
      </c:catAx>
      <c:valAx>
        <c:axId val="263176960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163392"/>
        <c:crosses val="autoZero"/>
        <c:crossBetween val="between"/>
        <c:majorUnit val="1"/>
        <c:minorUnit val="0.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代课!$J$1:$J$2</c:f>
              <c:strCache>
                <c:ptCount val="2"/>
                <c:pt idx="0">
                  <c:v>代课</c:v>
                </c:pt>
                <c:pt idx="1">
                  <c:v>人数</c:v>
                </c:pt>
              </c:strCache>
            </c:strRef>
          </c:tx>
          <c:invertIfNegative val="0"/>
          <c:cat>
            <c:strRef>
              <c:f>代课!$I$3:$I$14</c:f>
              <c:strCache>
                <c:ptCount val="12"/>
                <c:pt idx="0">
                  <c:v>经管学院</c:v>
                </c:pt>
                <c:pt idx="1">
                  <c:v>会计学院</c:v>
                </c:pt>
                <c:pt idx="2">
                  <c:v>文传学院</c:v>
                </c:pt>
                <c:pt idx="3">
                  <c:v>设艺学院</c:v>
                </c:pt>
                <c:pt idx="4">
                  <c:v>信工学院</c:v>
                </c:pt>
                <c:pt idx="5">
                  <c:v>政管学院</c:v>
                </c:pt>
                <c:pt idx="6">
                  <c:v>外语学院</c:v>
                </c:pt>
                <c:pt idx="7">
                  <c:v>旅游学院</c:v>
                </c:pt>
                <c:pt idx="8">
                  <c:v>舞蹈学院</c:v>
                </c:pt>
                <c:pt idx="9">
                  <c:v>思政部</c:v>
                </c:pt>
                <c:pt idx="10">
                  <c:v>体育部</c:v>
                </c:pt>
                <c:pt idx="11">
                  <c:v>党政部门</c:v>
                </c:pt>
              </c:strCache>
            </c:strRef>
          </c:cat>
          <c:val>
            <c:numRef>
              <c:f>代课!$J$3:$J$14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代课!$K$1:$K$2</c:f>
              <c:strCache>
                <c:ptCount val="2"/>
                <c:pt idx="0">
                  <c:v>代课</c:v>
                </c:pt>
                <c:pt idx="1">
                  <c:v>人次</c:v>
                </c:pt>
              </c:strCache>
            </c:strRef>
          </c:tx>
          <c:invertIfNegative val="0"/>
          <c:cat>
            <c:strRef>
              <c:f>代课!$I$3:$I$14</c:f>
              <c:strCache>
                <c:ptCount val="12"/>
                <c:pt idx="0">
                  <c:v>经管学院</c:v>
                </c:pt>
                <c:pt idx="1">
                  <c:v>会计学院</c:v>
                </c:pt>
                <c:pt idx="2">
                  <c:v>文传学院</c:v>
                </c:pt>
                <c:pt idx="3">
                  <c:v>设艺学院</c:v>
                </c:pt>
                <c:pt idx="4">
                  <c:v>信工学院</c:v>
                </c:pt>
                <c:pt idx="5">
                  <c:v>政管学院</c:v>
                </c:pt>
                <c:pt idx="6">
                  <c:v>外语学院</c:v>
                </c:pt>
                <c:pt idx="7">
                  <c:v>旅游学院</c:v>
                </c:pt>
                <c:pt idx="8">
                  <c:v>舞蹈学院</c:v>
                </c:pt>
                <c:pt idx="9">
                  <c:v>思政部</c:v>
                </c:pt>
                <c:pt idx="10">
                  <c:v>体育部</c:v>
                </c:pt>
                <c:pt idx="11">
                  <c:v>党政部门</c:v>
                </c:pt>
              </c:strCache>
            </c:strRef>
          </c:cat>
          <c:val>
            <c:numRef>
              <c:f>代课!$K$3:$K$14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149952"/>
        <c:axId val="191151488"/>
      </c:barChart>
      <c:catAx>
        <c:axId val="191149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1151488"/>
        <c:crosses val="autoZero"/>
        <c:auto val="1"/>
        <c:lblAlgn val="ctr"/>
        <c:lblOffset val="100"/>
        <c:noMultiLvlLbl val="0"/>
      </c:catAx>
      <c:valAx>
        <c:axId val="191151488"/>
        <c:scaling>
          <c:orientation val="minMax"/>
          <c:max val="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149952"/>
        <c:crosses val="autoZero"/>
        <c:crossBetween val="between"/>
        <c:majorUnit val="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外聘调课对比!$A$3</c:f>
              <c:strCache>
                <c:ptCount val="1"/>
                <c:pt idx="0">
                  <c:v>前四周</c:v>
                </c:pt>
              </c:strCache>
            </c:strRef>
          </c:tx>
          <c:invertIfNegative val="0"/>
          <c:cat>
            <c:strRef>
              <c:f>外聘调课对比!$B$1:$C$2</c:f>
              <c:strCache>
                <c:ptCount val="2"/>
                <c:pt idx="0">
                  <c:v>外聘教师调课人数</c:v>
                </c:pt>
                <c:pt idx="1">
                  <c:v>外聘教师调课人次</c:v>
                </c:pt>
              </c:strCache>
            </c:strRef>
          </c:cat>
          <c:val>
            <c:numRef>
              <c:f>外聘调课对比!$B$3:$C$3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外聘调课对比!$A$4</c:f>
              <c:strCache>
                <c:ptCount val="1"/>
                <c:pt idx="0">
                  <c:v>近四周</c:v>
                </c:pt>
              </c:strCache>
            </c:strRef>
          </c:tx>
          <c:invertIfNegative val="0"/>
          <c:cat>
            <c:strRef>
              <c:f>外聘调课对比!$B$1:$C$2</c:f>
              <c:strCache>
                <c:ptCount val="2"/>
                <c:pt idx="0">
                  <c:v>外聘教师调课人数</c:v>
                </c:pt>
                <c:pt idx="1">
                  <c:v>外聘教师调课人次</c:v>
                </c:pt>
              </c:strCache>
            </c:strRef>
          </c:cat>
          <c:val>
            <c:numRef>
              <c:f>外聘调课对比!$B$4:$C$4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3172096"/>
        <c:axId val="263173632"/>
      </c:barChart>
      <c:catAx>
        <c:axId val="26317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63173632"/>
        <c:crosses val="autoZero"/>
        <c:auto val="1"/>
        <c:lblAlgn val="ctr"/>
        <c:lblOffset val="100"/>
        <c:noMultiLvlLbl val="0"/>
      </c:catAx>
      <c:valAx>
        <c:axId val="26317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17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Arab" typeface="Times New Roman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Times New Roman"/>
      <a:font script="Jpan" typeface="ＭＳ Ｐゴシック"/>
      <a:font script="Khmr" typeface="MoolBoran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Times New Roman"/>
      <a:font script="Yiii" typeface="Microsoft Yi Baiti"/>
    </a:majorFont>
    <a:minorFont>
      <a:latin typeface="Calibri"/>
      <a:ea typeface=""/>
      <a:cs typeface=""/>
      <a:font script="Arab" typeface="Arial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Arial"/>
      <a:font script="Jpan" typeface="ＭＳ Ｐゴシック"/>
      <a:font script="Khmr" typeface="DaunPenh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Arial"/>
      <a:font script="Yiii" typeface="Microsoft Yi Baiti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Arab" typeface="Times New Roman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Times New Roman"/>
      <a:font script="Jpan" typeface="ＭＳ Ｐゴシック"/>
      <a:font script="Khmr" typeface="MoolBoran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Times New Roman"/>
      <a:font script="Yiii" typeface="Microsoft Yi Baiti"/>
    </a:majorFont>
    <a:minorFont>
      <a:latin typeface="Calibri"/>
      <a:ea typeface=""/>
      <a:cs typeface=""/>
      <a:font script="Arab" typeface="Arial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Arial"/>
      <a:font script="Jpan" typeface="ＭＳ Ｐゴシック"/>
      <a:font script="Khmr" typeface="DaunPenh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Arial"/>
      <a:font script="Yiii" typeface="Microsoft Yi Baiti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Arab" typeface="Times New Roman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Times New Roman"/>
      <a:font script="Jpan" typeface="ＭＳ Ｐゴシック"/>
      <a:font script="Khmr" typeface="MoolBoran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Times New Roman"/>
      <a:font script="Yiii" typeface="Microsoft Yi Baiti"/>
    </a:majorFont>
    <a:minorFont>
      <a:latin typeface="Calibri"/>
      <a:ea typeface=""/>
      <a:cs typeface=""/>
      <a:font script="Arab" typeface="Arial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Arial"/>
      <a:font script="Jpan" typeface="ＭＳ Ｐゴシック"/>
      <a:font script="Khmr" typeface="DaunPenh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Arial"/>
      <a:font script="Yiii" typeface="Microsoft Yi Baiti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Arab" typeface="Times New Roman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Times New Roman"/>
      <a:font script="Jpan" typeface="ＭＳ Ｐゴシック"/>
      <a:font script="Khmr" typeface="MoolBoran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Times New Roman"/>
      <a:font script="Yiii" typeface="Microsoft Yi Baiti"/>
    </a:majorFont>
    <a:minorFont>
      <a:latin typeface="Calibri"/>
      <a:ea typeface=""/>
      <a:cs typeface=""/>
      <a:font script="Arab" typeface="Arial"/>
      <a:font script="Beng" typeface="Vrinda"/>
      <a:font script="Cans" typeface="Euphemia"/>
      <a:font script="Cher" typeface="Plantagenet Cherokee"/>
      <a:font script="Deva" typeface="Mangal"/>
      <a:font script="Ethi" typeface="Nyala"/>
      <a:font script="Geor" typeface="Sylfaen"/>
      <a:font script="Gujr" typeface="Shruti"/>
      <a:font script="Guru" typeface="Raavi"/>
      <a:font script="Hang" typeface="맑은 고딕"/>
      <a:font script="Hans" typeface="宋体"/>
      <a:font script="Hant" typeface="新細明體"/>
      <a:font script="Hebr" typeface="Arial"/>
      <a:font script="Jpan" typeface="ＭＳ Ｐゴシック"/>
      <a:font script="Khmr" typeface="DaunPenh"/>
      <a:font script="Knda" typeface="Tunga"/>
      <a:font script="Laoo" typeface="DokChampa"/>
      <a:font script="Mlym" typeface="Kartika"/>
      <a:font script="Mong" typeface="Mongolian Baiti"/>
      <a:font script="Orya" typeface="Kalinga"/>
      <a:font script="Sinh" typeface="Iskoola Pota"/>
      <a:font script="Syrc" typeface="Estrangelo Edessa"/>
      <a:font script="Taml" typeface="Latha"/>
      <a:font script="Telu" typeface="Gautami"/>
      <a:font script="Thaa" typeface="MV Boli"/>
      <a:font script="Thai" typeface="Tahoma"/>
      <a:font script="Tibt" typeface="Microsoft Himalaya"/>
      <a:font script="Uigh" typeface="Microsoft Uighur"/>
      <a:font script="Viet" typeface="Arial"/>
      <a:font script="Yiii" typeface="Microsoft Yi Baiti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atMod val="350000"/>
              <a:shade val="99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705</Words>
  <Characters>4023</Characters>
  <Application>Microsoft Office Word</Application>
  <DocSecurity>0</DocSecurity>
  <Lines>33</Lines>
  <Paragraphs>9</Paragraphs>
  <ScaleCrop>false</ScaleCrop>
  <Company>微软中国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AutoBVT</dc:title>
  <dc:creator>asus</dc:creator>
  <cp:lastModifiedBy>PC</cp:lastModifiedBy>
  <cp:revision>2</cp:revision>
  <cp:lastPrinted>2013-07-26T02:55:00Z</cp:lastPrinted>
  <dcterms:created xsi:type="dcterms:W3CDTF">2016-09-28T08:19:00Z</dcterms:created>
  <dcterms:modified xsi:type="dcterms:W3CDTF">2016-09-28T08:19:00Z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