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rPr>
          <w:rFonts w:hint="default" w:ascii="Times New Roman" w:hAnsi="Times New Roman" w:eastAsia="宋体" w:cs="Times New Roman"/>
          <w:b/>
          <w:bCs w:val="0"/>
          <w:szCs w:val="24"/>
          <w:lang w:val="en-US"/>
        </w:rPr>
      </w:pPr>
      <w:r>
        <w:rPr>
          <w:rFonts w:hint="eastAsia" w:ascii="Times New Roman" w:hAnsi="Times New Roman" w:eastAsia="宋体" w:cs="宋体"/>
          <w:b/>
          <w:bCs w:val="0"/>
          <w:szCs w:val="24"/>
          <w:lang w:eastAsia="zh-CN"/>
        </w:rPr>
        <w:t>附件</w:t>
      </w:r>
    </w:p>
    <w:p>
      <w:pPr>
        <w:pStyle w:val="2"/>
        <w:keepNext w:val="0"/>
        <w:keepLines w:val="0"/>
        <w:widowControl/>
        <w:suppressLineNumbers w:val="0"/>
        <w:spacing w:line="360" w:lineRule="atLeast"/>
        <w:jc w:val="center"/>
        <w:rPr>
          <w:rFonts w:hint="default" w:ascii="Times New Roman" w:hAnsi="Times New Roman" w:eastAsia="宋体" w:cs="Times New Roman"/>
          <w:szCs w:val="24"/>
          <w:lang w:val="en-US"/>
        </w:rPr>
      </w:pPr>
      <w:r>
        <w:rPr>
          <w:rFonts w:hint="eastAsia" w:ascii="Times New Roman" w:hAnsi="Times New Roman" w:eastAsia="宋体" w:cs="宋体"/>
          <w:b/>
          <w:bCs w:val="0"/>
          <w:szCs w:val="24"/>
          <w:lang w:eastAsia="zh-CN"/>
        </w:rPr>
        <w:t>山东青年政治学院第二届翻译大赛英译汉原文</w:t>
      </w:r>
    </w:p>
    <w:p>
      <w:pPr>
        <w:pStyle w:val="2"/>
        <w:keepNext w:val="0"/>
        <w:keepLines w:val="0"/>
        <w:widowControl/>
        <w:suppressLineNumbers w:val="0"/>
        <w:spacing w:line="274" w:lineRule="atLeast"/>
        <w:jc w:val="center"/>
        <w:rPr>
          <w:rFonts w:hint="default" w:ascii="Times New Roman" w:hAnsi="Times New Roman" w:eastAsia="宋体" w:cs="Times New Roman"/>
          <w:b/>
          <w:bCs w:val="0"/>
          <w:szCs w:val="24"/>
          <w:lang w:val="en-US"/>
        </w:rPr>
      </w:pPr>
    </w:p>
    <w:p>
      <w:pPr>
        <w:pStyle w:val="2"/>
        <w:keepNext w:val="0"/>
        <w:keepLines w:val="0"/>
        <w:widowControl/>
        <w:suppressLineNumbers w:val="0"/>
        <w:spacing w:line="274" w:lineRule="atLeast"/>
        <w:jc w:val="center"/>
        <w:rPr>
          <w:rFonts w:hint="default" w:ascii="Times New Roman" w:hAnsi="Times New Roman" w:eastAsia="宋体" w:cs="Times New Roman"/>
          <w:szCs w:val="24"/>
          <w:lang w:val="en-US"/>
        </w:rPr>
      </w:pPr>
      <w:r>
        <w:rPr>
          <w:rFonts w:hint="default" w:ascii="Times New Roman" w:hAnsi="Times New Roman" w:eastAsia="宋体" w:cs="Times New Roman"/>
          <w:b/>
          <w:bCs w:val="0"/>
          <w:szCs w:val="24"/>
          <w:lang w:val="en-US"/>
        </w:rPr>
        <w:t>A Contract in the Context of Semiotics</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[1] A contract, basically, is an agreement between two (or more) persons, creating mutual legal obligations between them. In its essence, it is a legally and morally binding promise to do something or refrain from doing something. The “something” is called the subject matter of the contract, which must be legal. It is illegal to contract against good morals or national security, for example.</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[2] There is no set (verbal) formula to enter into a contract. Written contracts are as a rule supposed to set out what the parties actually intend, while the intent of orally-made and other informal agreements is, from a legal standpoint, not definitely fixed. Interpretation may there be necessary in order to clarify parties’ intentions. It is the task of the trial judge to make the implicit explicit by inference from the evidence available to him or her (the written and/or oral agreement corroborated by conduct by parties).</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[3] The consensual basis of contract, its first formal requirement, implies that parties (called promisor and promise) agree voluntarily and in good faith to enter into a common enterprise involving future actions, thereby yielding some portion of their freedom of behavior in the future. The will of parties is, in law, considered to be manifested in the fact that, to the effect of the contract a definite offer or proposal from one party has been consciously and willingly accepted, without new terms, by the other party. An offer not clearly and explicitly put forth and/or not freely and knowingly accepted makes no contract, --- or better, it makes a defective contract. Thus, if A asks B to promise some future performance, and B makes no answer indicating his (present) willingness to do so at some (future) time, B has made no promise.</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[4] To qualify as a valid and legally binding contract, there must be mutuality, or exchange of promises. Under a contract, one party undertakes an obligation, thereby giving the other, to whom the obligation is owed, a claim against him, her, or itself, which consists in the right to have a performance of the terms of the contract. By this token, parties do not share benefits and burdens, but each party has his, her, or its definite privileges and responsibilities arising from the contract.</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[5] Contracting parties must further be competent, that is, they must have the proper legal capacity to enter into a contractual agreement. As a case in point, a contract entered into by a minor (or a mentally disabled person) is a defective, hence voidable, transaction. It is not void, and therefore still creates legally binding obligations on a competent party, unless the minor (or mentally disabled person) repudiates it. This may happen in person or through a guardian acting on his or her behalf.</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[6] However, a contract is not binding, and therefore void (and not merely voidable), if it is lacking what is called, in legal jargon, “consideration”. A bare and gratuitous promise is generally insufficient ground to create, for the one party, an enforceable duty to deliver any (material or immaterial) goods, not for the other, to take and pay for them. The obligation resting upon each party only exists “in consideration of” the act or promise of the other, --- meaning that neither is bound unless both are bound. Consideration is, in the Anglo-American legal system (the so-called common law), the essence and backbone of legal contract. It is also known as the </w:t>
      </w:r>
      <w:r>
        <w:rPr>
          <w:rFonts w:hint="default" w:ascii="Times New Roman" w:hAnsi="Times New Roman" w:eastAsia="宋体" w:cs="Times New Roman"/>
          <w:i/>
          <w:iCs w:val="0"/>
          <w:szCs w:val="24"/>
          <w:lang w:val="en-US"/>
        </w:rPr>
        <w:t>quid pro quo</w:t>
      </w:r>
      <w:r>
        <w:rPr>
          <w:rFonts w:hint="default" w:ascii="Times New Roman" w:hAnsi="Times New Roman" w:eastAsia="宋体" w:cs="Times New Roman"/>
          <w:szCs w:val="24"/>
          <w:lang w:val="en-US"/>
        </w:rPr>
        <w:t> (“what for what”, “something for something”) mentioned in the title of this Chapter because of the analogy to the scholastic </w:t>
      </w:r>
      <w:r>
        <w:rPr>
          <w:rFonts w:hint="default" w:ascii="Times New Roman" w:hAnsi="Times New Roman" w:eastAsia="宋体" w:cs="Times New Roman"/>
          <w:i/>
          <w:iCs w:val="0"/>
          <w:szCs w:val="24"/>
          <w:lang w:val="en-US"/>
        </w:rPr>
        <w:t>aliquid stat pro aliquo</w:t>
      </w:r>
      <w:r>
        <w:rPr>
          <w:rFonts w:hint="default" w:ascii="Times New Roman" w:hAnsi="Times New Roman" w:eastAsia="宋体" w:cs="Times New Roman"/>
          <w:szCs w:val="24"/>
          <w:lang w:val="en-US"/>
        </w:rPr>
        <w:t>, which exemplifies the semiotic sign relation and is (like </w:t>
      </w:r>
      <w:r>
        <w:rPr>
          <w:rFonts w:hint="default" w:ascii="Times New Roman" w:hAnsi="Times New Roman" w:eastAsia="宋体" w:cs="Times New Roman"/>
          <w:i/>
          <w:iCs w:val="0"/>
          <w:szCs w:val="24"/>
          <w:lang w:val="en-US"/>
        </w:rPr>
        <w:t>quid pro quo</w:t>
      </w:r>
      <w:r>
        <w:rPr>
          <w:rFonts w:hint="default" w:ascii="Times New Roman" w:hAnsi="Times New Roman" w:eastAsia="宋体" w:cs="Times New Roman"/>
          <w:szCs w:val="24"/>
          <w:lang w:val="en-US"/>
        </w:rPr>
        <w:t>) rooted in equivalence. </w:t>
      </w:r>
      <w:r>
        <w:rPr>
          <w:rFonts w:hint="default" w:ascii="Times New Roman" w:hAnsi="Times New Roman" w:eastAsia="宋体" w:cs="Times New Roman"/>
          <w:i/>
          <w:iCs w:val="0"/>
          <w:szCs w:val="24"/>
          <w:lang w:val="en-US"/>
        </w:rPr>
        <w:t>Quid pro quo</w:t>
      </w:r>
      <w:r>
        <w:rPr>
          <w:rFonts w:hint="default" w:ascii="Times New Roman" w:hAnsi="Times New Roman" w:eastAsia="宋体" w:cs="Times New Roman"/>
          <w:szCs w:val="24"/>
          <w:lang w:val="en-US"/>
        </w:rPr>
        <w:t> indicates that something must be given in return for the promise; that there must be some bargain; that a responsibility incurred by the one party must be matched by a corresponding benefit gained by the other. Consideration pits the promise to give (often, to pay) against the promise to do, thereby highlighting the thing of value each party agrees to give in exchange for what he or she receives by the bargain. This thing of value, or consideration, is the reason for which the contract is made.</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[7] Semiotics being, essentially, the study of how verbal and nonverbal messages are created, sent, received, understood, interpreted, and otherwise used, it is clearly the case that contract is a semiotic problem. Here we must distinguish a contract as a written document from contract as a communicative act or event. Though different, both are facts of law and both are semiotic signs.</w:t>
      </w:r>
    </w:p>
    <w:p>
      <w:pPr>
        <w:pStyle w:val="2"/>
        <w:keepNext w:val="0"/>
        <w:keepLines w:val="0"/>
        <w:widowControl/>
        <w:suppressLineNumbers w:val="0"/>
        <w:spacing w:line="360" w:lineRule="atLeast"/>
        <w:ind w:left="0" w:firstLine="480" w:firstLineChars="20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[8] The written document, or contract form, is an object which is a sign because of the verbal signs (signs of Thirdness) it is codified in. when filled out and signed, it serves as a genuine Third, or sign of law. In accordance with Peirce’s classification of signs, it must be characterized as a symbolic sign strongly tinged with indexicality. More specifically, it is proposition, or dicent symbolic legisign which on being signed by parties (and, if necessary, co-signed by one or more witnesses, an attorney, and/or notary public) will acquire the status of an argument, or argumentative symbolic legisign. The mixed, symbolic - indexical nature of the contract is signified in the appearance of the formal, written contract but can also be recognized (though perhaps in a less explicit form) in informal contracts –- agreements, that is, which may result from an exchange or letters or even from casual acts.</w:t>
      </w:r>
    </w:p>
    <w:p>
      <w:pPr>
        <w:keepNext w:val="0"/>
        <w:keepLines w:val="0"/>
        <w:widowControl/>
        <w:suppressLineNumbers w:val="0"/>
        <w:spacing w:before="0" w:beforeAutospacing="0" w:after="0" w:afterAutospacing="0"/>
        <w:ind w:left="0" w:right="0" w:firstLine="1928" w:firstLineChars="800"/>
        <w:jc w:val="left"/>
        <w:rPr>
          <w:rFonts w:hint="eastAsia" w:ascii="宋体" w:hAnsi="宋体" w:eastAsia="宋体" w:cs="宋体"/>
          <w:b/>
          <w:bCs w:val="0"/>
          <w:sz w:val="24"/>
          <w:szCs w:val="24"/>
          <w:lang w:eastAsia="zh-CN"/>
        </w:rPr>
      </w:pPr>
    </w:p>
    <w:p>
      <w:pPr>
        <w:keepNext w:val="0"/>
        <w:keepLines w:val="0"/>
        <w:widowControl/>
        <w:suppressLineNumbers w:val="0"/>
        <w:spacing w:before="0" w:beforeAutospacing="0" w:after="0" w:afterAutospacing="0"/>
        <w:ind w:left="0" w:right="0" w:firstLine="1928" w:firstLineChars="800"/>
        <w:jc w:val="left"/>
        <w:rPr>
          <w:rFonts w:hint="eastAsia" w:ascii="宋体" w:hAnsi="宋体" w:eastAsia="宋体" w:cs="宋体"/>
          <w:b/>
          <w:bCs w:val="0"/>
          <w:sz w:val="24"/>
          <w:szCs w:val="24"/>
          <w:lang w:eastAsia="zh-CN"/>
        </w:rPr>
      </w:pPr>
    </w:p>
    <w:p>
      <w:pPr>
        <w:keepNext w:val="0"/>
        <w:keepLines w:val="0"/>
        <w:widowControl/>
        <w:suppressLineNumbers w:val="0"/>
        <w:spacing w:before="0" w:beforeAutospacing="0" w:after="0" w:afterAutospacing="0"/>
        <w:ind w:left="0" w:right="0" w:firstLine="1928" w:firstLineChars="800"/>
        <w:jc w:val="left"/>
        <w:rPr>
          <w:rFonts w:hint="default" w:ascii="Times New Roman" w:hAnsi="Times New Roman" w:eastAsia="宋体" w:cs="Times New Roman"/>
          <w:b/>
          <w:bCs w:val="0"/>
          <w:szCs w:val="24"/>
          <w:lang w:val="en-US"/>
        </w:rPr>
      </w:pPr>
      <w:bookmarkStart w:id="0" w:name="_GoBack"/>
      <w:bookmarkEnd w:id="0"/>
      <w:r>
        <w:rPr>
          <w:rFonts w:hint="eastAsia" w:ascii="宋体" w:hAnsi="宋体" w:eastAsia="宋体" w:cs="宋体"/>
          <w:b/>
          <w:bCs w:val="0"/>
          <w:sz w:val="24"/>
          <w:szCs w:val="24"/>
          <w:lang w:eastAsia="zh-CN"/>
        </w:rPr>
        <w:t>山东青年政治学院第二届翻译大赛汉译英原文</w:t>
      </w:r>
    </w:p>
    <w:p>
      <w:pPr>
        <w:pStyle w:val="2"/>
        <w:keepNext w:val="0"/>
        <w:keepLines w:val="0"/>
        <w:widowControl/>
        <w:suppressLineNumbers w:val="0"/>
        <w:spacing w:line="360" w:lineRule="atLeast"/>
        <w:ind w:left="0" w:firstLine="420"/>
        <w:rPr>
          <w:rFonts w:hint="default" w:ascii="Times New Roman" w:hAnsi="Times New Roman" w:eastAsia="宋体" w:cs="Times New Roman"/>
          <w:szCs w:val="24"/>
          <w:lang w:val="en-US"/>
        </w:rPr>
      </w:pPr>
      <w:r>
        <w:rPr>
          <w:rFonts w:hint="default" w:ascii="Times New Roman" w:hAnsi="Times New Roman" w:eastAsia="宋体" w:cs="Times New Roman"/>
          <w:szCs w:val="24"/>
          <w:lang w:val="en-US"/>
        </w:rPr>
        <w:t>[1]</w:t>
      </w:r>
      <w:r>
        <w:rPr>
          <w:rFonts w:hint="eastAsia" w:ascii="Times New Roman" w:hAnsi="Times New Roman" w:eastAsia="宋体" w:cs="宋体"/>
          <w:szCs w:val="24"/>
          <w:lang w:eastAsia="zh-CN"/>
        </w:rPr>
        <w:t>经济战略纵深存在时和空两个维度。空间纵深方面，可以从区域、产业和市场几个方面来考察：从区域角度看，战略纵深一方面来自一国的幅员辽阔和地大物博，更重要的是根据自然资源禀赋和区域发展规划，形成具有比较优势的区域产业和产品优势，呈现</w:t>
      </w:r>
      <w:r>
        <w:rPr>
          <w:rFonts w:hint="default" w:ascii="Times New Roman" w:hAnsi="Times New Roman" w:eastAsia="宋体" w:cs="Times New Roman"/>
          <w:szCs w:val="24"/>
          <w:lang w:val="en-US"/>
        </w:rPr>
        <w:t>“</w:t>
      </w:r>
      <w:r>
        <w:rPr>
          <w:rFonts w:hint="eastAsia" w:ascii="Times New Roman" w:hAnsi="Times New Roman" w:eastAsia="宋体" w:cs="宋体"/>
          <w:szCs w:val="24"/>
          <w:lang w:eastAsia="zh-CN"/>
        </w:rPr>
        <w:t>互为补充、相互带动、梯次发展</w:t>
      </w:r>
      <w:r>
        <w:rPr>
          <w:rFonts w:hint="default" w:ascii="Times New Roman" w:hAnsi="Times New Roman" w:eastAsia="宋体" w:cs="Times New Roman"/>
          <w:szCs w:val="24"/>
          <w:lang w:val="en-US"/>
        </w:rPr>
        <w:t>”</w:t>
      </w:r>
      <w:r>
        <w:rPr>
          <w:rFonts w:hint="eastAsia" w:ascii="Times New Roman" w:hAnsi="Times New Roman" w:eastAsia="宋体" w:cs="宋体"/>
          <w:szCs w:val="24"/>
          <w:lang w:eastAsia="zh-CN"/>
        </w:rPr>
        <w:t>的格局；从产业结构看，第一产业特别是高附加值农业、第二产业特别是高端制造业、第三产业特别是现代服务业，呈</w:t>
      </w:r>
      <w:r>
        <w:rPr>
          <w:rFonts w:hint="default" w:ascii="Times New Roman" w:hAnsi="Times New Roman" w:eastAsia="宋体" w:cs="Times New Roman"/>
          <w:szCs w:val="24"/>
          <w:lang w:val="en-US"/>
        </w:rPr>
        <w:t>“</w:t>
      </w:r>
      <w:r>
        <w:rPr>
          <w:rFonts w:hint="eastAsia" w:ascii="Times New Roman" w:hAnsi="Times New Roman" w:eastAsia="宋体" w:cs="宋体"/>
          <w:szCs w:val="24"/>
          <w:lang w:eastAsia="zh-CN"/>
        </w:rPr>
        <w:t>核心行业优势明显、整体结构协调发展</w:t>
      </w:r>
      <w:r>
        <w:rPr>
          <w:rFonts w:hint="default" w:ascii="Times New Roman" w:hAnsi="Times New Roman" w:eastAsia="宋体" w:cs="Times New Roman"/>
          <w:szCs w:val="24"/>
          <w:lang w:val="en-US"/>
        </w:rPr>
        <w:t>”</w:t>
      </w:r>
      <w:r>
        <w:rPr>
          <w:rFonts w:hint="eastAsia" w:ascii="Times New Roman" w:hAnsi="Times New Roman" w:eastAsia="宋体" w:cs="宋体"/>
          <w:szCs w:val="24"/>
          <w:lang w:eastAsia="zh-CN"/>
        </w:rPr>
        <w:t>的局面；从市场角度看，在全球化背景下，同时拥有国内和国际两个巨大市场，在大力开拓国际市场的同时，拥有具有较大回旋余地的国内市场。用时间的标尺来衡量战略纵深，则主要是对一国的体制、机制和制度环境对经济潜力的影响加以考察，其中政治和社会稳定的预期、市场体系和投融资体制的效能、社会保障制度的健全与完备、教育和科研水平对经济和产业提供的智力资源等，决定一个国家经济运行的稳定性、经济危机的自我修复能力，事关一国经济发展的潜能。</w:t>
      </w:r>
    </w:p>
    <w:p>
      <w:pPr>
        <w:pStyle w:val="2"/>
        <w:keepNext w:val="0"/>
        <w:keepLines w:val="0"/>
        <w:widowControl/>
        <w:suppressLineNumbers w:val="0"/>
        <w:spacing w:line="360" w:lineRule="atLeast"/>
        <w:ind w:left="0" w:firstLine="420"/>
        <w:rPr>
          <w:sz w:val="24"/>
          <w:szCs w:val="24"/>
        </w:rPr>
      </w:pPr>
      <w:r>
        <w:rPr>
          <w:rFonts w:hint="default" w:ascii="Times New Roman" w:hAnsi="Times New Roman" w:eastAsia="宋体" w:cs="Times New Roman"/>
          <w:szCs w:val="24"/>
          <w:lang w:val="en-US"/>
        </w:rPr>
        <w:t>[2]</w:t>
      </w:r>
      <w:r>
        <w:rPr>
          <w:rFonts w:hint="eastAsia" w:ascii="Times New Roman" w:hAnsi="Times New Roman" w:eastAsia="宋体" w:cs="宋体"/>
          <w:szCs w:val="24"/>
          <w:lang w:eastAsia="zh-CN"/>
        </w:rPr>
        <w:t>经济战略纵深的本质是经济安全。从近代西班牙、荷兰等以商业繁荣为基础的强权经济昙花一现，到亚洲金融危机东亚诸国泡沫破裂引发的经济断层危机，背后的原因林林总总，其经济结构的脆弱性却是不可否认的共性问题。历史经验说明，没有经济纵深就谈不上经济安全。经济安全代表着一国经济在整体上主权独立、基础稳固、运行稳健、增长稳定、发展持续，在国际经济生活中有一定的自主性、防卫力和竞争力，能够避免或化解可能的局部的或全局性的危机。具体内容上，包括一国经济结构内部的协调，国民经济产业部门之间基本保持平衡，工业体系基本完善，基础产业稳固，不存在制约国民经济发展的瓶颈，尤其是不存在无法通过进口加以补充的瓶颈产业。从供给方面看，产业结构与要素结构基本吻合，资源利用较为充分，而且能够按照比较优势的原则发展主导产业参与国际分工；从需求方面看，产品能基本满足国内的基本需求。一个具有战略纵深的经济体系应该是一个具有自身结构不断升级的结构，而不是始终依赖外国产业转移的僵化结构；应当是一个在外部动荡环境下能承受冲击的结构，而不是在外部冲击下缺乏调节机制的结构。实践表明，没有合理的民族工业支撑的商业繁荣属于依赖型繁荣，是不可持续的，一如历史上的西班牙和荷兰；没有合理协调的产业机构基础上的</w:t>
      </w:r>
      <w:r>
        <w:rPr>
          <w:rFonts w:hint="default" w:ascii="Times New Roman" w:hAnsi="Times New Roman" w:eastAsia="宋体" w:cs="Times New Roman"/>
          <w:szCs w:val="24"/>
          <w:lang w:val="en-US"/>
        </w:rPr>
        <w:t>“</w:t>
      </w:r>
      <w:r>
        <w:rPr>
          <w:rFonts w:hint="eastAsia" w:ascii="Times New Roman" w:hAnsi="Times New Roman" w:eastAsia="宋体" w:cs="宋体"/>
          <w:szCs w:val="24"/>
          <w:lang w:eastAsia="zh-CN"/>
        </w:rPr>
        <w:t>大进大出、两头在外</w:t>
      </w:r>
      <w:r>
        <w:rPr>
          <w:rFonts w:hint="default" w:ascii="Times New Roman" w:hAnsi="Times New Roman" w:eastAsia="宋体" w:cs="Times New Roman"/>
          <w:szCs w:val="24"/>
          <w:lang w:val="en-US"/>
        </w:rPr>
        <w:t>”</w:t>
      </w:r>
      <w:r>
        <w:rPr>
          <w:rFonts w:hint="eastAsia" w:ascii="Times New Roman" w:hAnsi="Times New Roman" w:eastAsia="宋体" w:cs="宋体"/>
          <w:szCs w:val="24"/>
          <w:lang w:eastAsia="zh-CN"/>
        </w:rPr>
        <w:t>的跳跃式经济增长和断层型的发展模式，只是低收入国家甚至中等收入国家的权宜之计，一如深陷亚洲金融危机泥潭的东南亚国家。</w:t>
      </w:r>
    </w:p>
    <w:p/>
    <w:sectPr>
      <w:pgSz w:w="11906" w:h="16838"/>
      <w:pgMar w:top="709" w:right="1800" w:bottom="113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73C91"/>
    <w:rsid w:val="03C7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2018-04-16T07:49:00Z</dcterms:created>
  <dc:creator>妳是wo丶唯一</dc:creator>
  <cp:lastModifiedBy>妳是wo丶唯一</cp:lastModifiedBy>
  <dcterms:modified xsi:type="dcterms:W3CDTF">2018-04-16T07:49:45Z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