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B4" w:rsidRPr="00465A2D" w:rsidRDefault="009A01B4" w:rsidP="001E717B">
      <w:pPr>
        <w:spacing w:line="560" w:lineRule="exact"/>
        <w:rPr>
          <w:rFonts w:ascii="方正小标宋简体" w:eastAsia="方正小标宋简体"/>
          <w:color w:val="FF0000"/>
          <w:w w:val="87"/>
          <w:szCs w:val="32"/>
        </w:rPr>
      </w:pPr>
    </w:p>
    <w:p w:rsidR="009A01B4" w:rsidRPr="00465A2D" w:rsidRDefault="009A01B4" w:rsidP="001E717B">
      <w:pPr>
        <w:spacing w:line="560" w:lineRule="exact"/>
        <w:rPr>
          <w:rFonts w:ascii="方正小标宋简体" w:eastAsia="方正小标宋简体"/>
          <w:color w:val="FF0000"/>
          <w:w w:val="87"/>
          <w:szCs w:val="32"/>
        </w:rPr>
      </w:pPr>
    </w:p>
    <w:p w:rsidR="009A01B4" w:rsidRPr="00465A2D" w:rsidRDefault="009A01B4" w:rsidP="001E717B">
      <w:pPr>
        <w:spacing w:line="1640" w:lineRule="exact"/>
        <w:jc w:val="center"/>
        <w:rPr>
          <w:rFonts w:ascii="??????" w:eastAsia="Times New Roman"/>
          <w:color w:val="FF0000"/>
          <w:sz w:val="120"/>
          <w:szCs w:val="120"/>
        </w:rPr>
      </w:pPr>
      <w:r>
        <w:rPr>
          <w:rFonts w:ascii="??????" w:eastAsia="Times New Roman"/>
          <w:color w:val="FF0000"/>
          <w:sz w:val="120"/>
          <w:szCs w:val="120"/>
        </w:rPr>
        <w:t>教</w:t>
      </w:r>
      <w:r>
        <w:rPr>
          <w:rFonts w:ascii="??????" w:eastAsia="Times New Roman"/>
          <w:color w:val="FF0000"/>
          <w:sz w:val="120"/>
          <w:szCs w:val="120"/>
        </w:rPr>
        <w:t xml:space="preserve"> </w:t>
      </w:r>
      <w:r>
        <w:rPr>
          <w:rFonts w:ascii="??????" w:eastAsia="Times New Roman"/>
          <w:color w:val="FF0000"/>
          <w:sz w:val="120"/>
          <w:szCs w:val="120"/>
        </w:rPr>
        <w:t>学</w:t>
      </w:r>
      <w:r>
        <w:rPr>
          <w:rFonts w:ascii="??????" w:eastAsia="Times New Roman"/>
          <w:color w:val="FF0000"/>
          <w:sz w:val="120"/>
          <w:szCs w:val="120"/>
        </w:rPr>
        <w:t xml:space="preserve"> </w:t>
      </w:r>
      <w:r>
        <w:rPr>
          <w:rFonts w:ascii="??????" w:eastAsia="Times New Roman"/>
          <w:color w:val="FF0000"/>
          <w:sz w:val="120"/>
          <w:szCs w:val="120"/>
        </w:rPr>
        <w:t>通</w:t>
      </w:r>
      <w:r>
        <w:rPr>
          <w:rFonts w:ascii="??????" w:eastAsia="Times New Roman"/>
          <w:color w:val="FF0000"/>
          <w:sz w:val="120"/>
          <w:szCs w:val="120"/>
        </w:rPr>
        <w:t xml:space="preserve"> </w:t>
      </w:r>
      <w:r>
        <w:rPr>
          <w:rFonts w:ascii="??????" w:eastAsia="Times New Roman"/>
          <w:color w:val="FF0000"/>
          <w:sz w:val="120"/>
          <w:szCs w:val="120"/>
        </w:rPr>
        <w:t>报</w:t>
      </w:r>
    </w:p>
    <w:p w:rsidR="009A01B4" w:rsidRPr="00465A2D" w:rsidRDefault="009A01B4" w:rsidP="001E717B">
      <w:pPr>
        <w:adjustRightInd w:val="0"/>
        <w:snapToGrid w:val="0"/>
        <w:spacing w:line="420" w:lineRule="exact"/>
        <w:jc w:val="center"/>
        <w:outlineLvl w:val="0"/>
        <w:rPr>
          <w:rFonts w:ascii="??_GB2312"/>
        </w:rPr>
      </w:pPr>
    </w:p>
    <w:p w:rsidR="009A01B4" w:rsidRPr="00573A43" w:rsidRDefault="009A01B4" w:rsidP="001E717B">
      <w:pPr>
        <w:adjustRightInd w:val="0"/>
        <w:snapToGrid w:val="0"/>
        <w:spacing w:line="420" w:lineRule="exact"/>
        <w:jc w:val="center"/>
        <w:outlineLvl w:val="0"/>
        <w:rPr>
          <w:rFonts w:ascii="仿宋" w:eastAsia="仿宋" w:hAnsi="仿宋"/>
        </w:rPr>
      </w:pPr>
      <w:r w:rsidRPr="00573A43">
        <w:rPr>
          <w:rFonts w:ascii="仿宋" w:eastAsia="仿宋" w:hAnsi="仿宋"/>
          <w:sz w:val="32"/>
          <w:szCs w:val="20"/>
        </w:rPr>
        <w:t>2016年第5期（总第23期）</w:t>
      </w:r>
    </w:p>
    <w:p w:rsidR="009A01B4" w:rsidRPr="00573A43" w:rsidRDefault="009A01B4" w:rsidP="001E717B">
      <w:pPr>
        <w:adjustRightInd w:val="0"/>
        <w:snapToGrid w:val="0"/>
        <w:spacing w:line="420" w:lineRule="exact"/>
        <w:jc w:val="center"/>
        <w:outlineLvl w:val="0"/>
        <w:rPr>
          <w:rFonts w:ascii="仿宋" w:eastAsia="仿宋" w:hAnsi="仿宋"/>
        </w:rPr>
      </w:pPr>
    </w:p>
    <w:p w:rsidR="009A01B4" w:rsidRPr="00573A43" w:rsidRDefault="009A01B4" w:rsidP="001E717B">
      <w:pPr>
        <w:adjustRightInd w:val="0"/>
        <w:snapToGrid w:val="0"/>
        <w:spacing w:line="420" w:lineRule="exact"/>
        <w:outlineLvl w:val="0"/>
        <w:rPr>
          <w:rFonts w:ascii="仿宋" w:eastAsia="仿宋" w:hAnsi="仿宋"/>
        </w:rPr>
      </w:pPr>
      <w:r w:rsidRPr="00573A43">
        <w:rPr>
          <w:rFonts w:ascii="仿宋" w:eastAsia="仿宋" w:hAnsi="仿宋" w:hint="eastAsia"/>
          <w:sz w:val="32"/>
          <w:szCs w:val="20"/>
        </w:rPr>
        <w:t>山东青年政治学院教务处</w:t>
      </w:r>
      <w:r w:rsidRPr="00573A43">
        <w:rPr>
          <w:rFonts w:ascii="仿宋" w:eastAsia="仿宋" w:hAnsi="仿宋"/>
          <w:sz w:val="32"/>
          <w:szCs w:val="20"/>
        </w:rPr>
        <w:t xml:space="preserve">              2016</w:t>
      </w:r>
      <w:r w:rsidRPr="00573A43">
        <w:rPr>
          <w:rFonts w:ascii="仿宋" w:eastAsia="仿宋" w:hAnsi="仿宋" w:hint="eastAsia"/>
          <w:sz w:val="32"/>
          <w:szCs w:val="20"/>
        </w:rPr>
        <w:t>年</w:t>
      </w:r>
      <w:r w:rsidRPr="00573A43">
        <w:rPr>
          <w:rFonts w:ascii="仿宋" w:eastAsia="仿宋" w:hAnsi="仿宋"/>
          <w:sz w:val="32"/>
          <w:szCs w:val="20"/>
        </w:rPr>
        <w:t>4</w:t>
      </w:r>
      <w:r w:rsidRPr="00573A43">
        <w:rPr>
          <w:rFonts w:ascii="仿宋" w:eastAsia="仿宋" w:hAnsi="仿宋" w:hint="eastAsia"/>
          <w:sz w:val="32"/>
          <w:szCs w:val="20"/>
        </w:rPr>
        <w:t>月</w:t>
      </w:r>
      <w:r w:rsidRPr="00573A43">
        <w:rPr>
          <w:rFonts w:ascii="仿宋" w:eastAsia="仿宋" w:hAnsi="仿宋"/>
          <w:sz w:val="32"/>
          <w:szCs w:val="20"/>
        </w:rPr>
        <w:t>26</w:t>
      </w:r>
      <w:r w:rsidRPr="00573A43">
        <w:rPr>
          <w:rFonts w:ascii="仿宋" w:eastAsia="仿宋" w:hAnsi="仿宋" w:hint="eastAsia"/>
          <w:sz w:val="32"/>
          <w:szCs w:val="20"/>
        </w:rPr>
        <w:t>日</w:t>
      </w:r>
    </w:p>
    <w:p w:rsidR="009A01B4" w:rsidRPr="00465A2D" w:rsidRDefault="00577C92" w:rsidP="001E717B">
      <w:pPr>
        <w:outlineLvl w:val="0"/>
        <w:rPr>
          <w:color w:val="FF0000"/>
          <w:szCs w:val="32"/>
        </w:rPr>
      </w:pPr>
      <w:r>
        <w:rPr>
          <w:noProof/>
        </w:rPr>
        <w:pict>
          <v:line id="直接连接符 2" o:spid="_x0000_s1026" style="position:absolute;left:0;text-align:left;z-index:251658240;visibility:visible;mso-wrap-distance-top:-6e-5mm;mso-wrap-distance-bottom:-6e-5mm" from=".25pt,13pt" to="44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aWMQIAADUEAAAOAAAAZHJzL2Uyb0RvYy54bWysU8GO0zAQvSPxD1bu3STdtLR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" strokecolor="red" strokeweight="1.5pt"/>
        </w:pict>
      </w:r>
    </w:p>
    <w:p w:rsidR="009A01B4" w:rsidRDefault="009A01B4" w:rsidP="00F37088">
      <w:pPr>
        <w:spacing w:line="500" w:lineRule="exact"/>
        <w:ind w:leftChars="-6" w:left="-13" w:firstLineChars="6" w:firstLine="26"/>
        <w:jc w:val="center"/>
        <w:outlineLvl w:val="0"/>
        <w:rPr>
          <w:rFonts w:ascii="方正小标宋简体" w:eastAsia="方正小标宋简体"/>
          <w:sz w:val="44"/>
          <w:szCs w:val="44"/>
        </w:rPr>
      </w:pPr>
    </w:p>
    <w:p w:rsidR="009A01B4" w:rsidRPr="00465A2D" w:rsidRDefault="009A01B4" w:rsidP="00F37088">
      <w:pPr>
        <w:spacing w:line="500" w:lineRule="exact"/>
        <w:ind w:leftChars="-6" w:left="-13" w:firstLineChars="6" w:firstLine="26"/>
        <w:jc w:val="center"/>
        <w:outlineLvl w:val="0"/>
        <w:rPr>
          <w:rFonts w:ascii="方正小标宋简体" w:eastAsia="方正小标宋简体"/>
          <w:sz w:val="44"/>
          <w:szCs w:val="44"/>
        </w:rPr>
      </w:pPr>
    </w:p>
    <w:p w:rsidR="009A01B4" w:rsidRPr="00465A2D" w:rsidRDefault="009A01B4" w:rsidP="00F37088">
      <w:pPr>
        <w:spacing w:line="500" w:lineRule="exact"/>
        <w:ind w:leftChars="-6" w:left="-13" w:firstLineChars="6" w:firstLine="26"/>
        <w:jc w:val="center"/>
        <w:outlineLvl w:val="0"/>
        <w:rPr>
          <w:rFonts w:ascii="方正小标宋简体" w:eastAsia="方正小标宋简体"/>
          <w:sz w:val="44"/>
          <w:szCs w:val="44"/>
        </w:rPr>
      </w:pPr>
      <w:r w:rsidRPr="00465A2D">
        <w:rPr>
          <w:rFonts w:ascii="方正小标宋简体" w:eastAsia="方正小标宋简体" w:hint="eastAsia"/>
          <w:sz w:val="44"/>
          <w:szCs w:val="44"/>
        </w:rPr>
        <w:t>目</w:t>
      </w:r>
      <w:r w:rsidRPr="00465A2D">
        <w:rPr>
          <w:rFonts w:ascii="方正小标宋简体" w:eastAsia="方正小标宋简体"/>
          <w:sz w:val="44"/>
          <w:szCs w:val="44"/>
        </w:rPr>
        <w:t xml:space="preserve">  </w:t>
      </w:r>
      <w:r w:rsidRPr="00465A2D">
        <w:rPr>
          <w:rFonts w:ascii="方正小标宋简体" w:eastAsia="方正小标宋简体" w:hint="eastAsia"/>
          <w:sz w:val="44"/>
          <w:szCs w:val="44"/>
        </w:rPr>
        <w:t>录</w:t>
      </w:r>
    </w:p>
    <w:p w:rsidR="009A01B4" w:rsidRPr="00465A2D" w:rsidRDefault="009A01B4" w:rsidP="001E717B">
      <w:pPr>
        <w:adjustRightInd w:val="0"/>
        <w:snapToGrid w:val="0"/>
        <w:spacing w:line="500" w:lineRule="exact"/>
        <w:outlineLvl w:val="0"/>
      </w:pPr>
    </w:p>
    <w:p w:rsidR="009A01B4" w:rsidRPr="00C530AB" w:rsidRDefault="009A01B4" w:rsidP="00CA2179">
      <w:pPr>
        <w:spacing w:line="520" w:lineRule="exact"/>
        <w:rPr>
          <w:rFonts w:ascii="仿宋" w:eastAsia="仿宋" w:hAnsi="仿宋"/>
          <w:sz w:val="28"/>
          <w:szCs w:val="20"/>
        </w:rPr>
      </w:pPr>
      <w:r w:rsidRPr="00C530AB">
        <w:rPr>
          <w:rFonts w:ascii="仿宋" w:eastAsia="仿宋" w:hAnsi="仿宋"/>
          <w:sz w:val="28"/>
          <w:szCs w:val="20"/>
        </w:rPr>
        <w:t>2015-2016</w:t>
      </w:r>
      <w:r w:rsidRPr="00C530AB">
        <w:rPr>
          <w:rFonts w:ascii="仿宋" w:eastAsia="仿宋" w:hAnsi="仿宋" w:hint="eastAsia"/>
          <w:sz w:val="28"/>
          <w:szCs w:val="20"/>
        </w:rPr>
        <w:t>学年第一学期学生学业考核成绩分析报告……</w:t>
      </w:r>
      <w:proofErr w:type="gramStart"/>
      <w:r w:rsidRPr="00C530AB">
        <w:rPr>
          <w:rFonts w:ascii="仿宋" w:eastAsia="仿宋" w:hAnsi="仿宋" w:hint="eastAsia"/>
          <w:sz w:val="28"/>
          <w:szCs w:val="20"/>
        </w:rPr>
        <w:t>………</w:t>
      </w:r>
      <w:proofErr w:type="gramEnd"/>
      <w:r w:rsidRPr="00C530AB">
        <w:rPr>
          <w:rFonts w:ascii="仿宋" w:eastAsia="仿宋" w:hAnsi="仿宋" w:hint="eastAsia"/>
          <w:sz w:val="28"/>
          <w:szCs w:val="20"/>
        </w:rPr>
        <w:t>（</w:t>
      </w:r>
      <w:r w:rsidRPr="00C530AB">
        <w:rPr>
          <w:rFonts w:ascii="仿宋" w:eastAsia="仿宋" w:hAnsi="仿宋"/>
          <w:sz w:val="28"/>
          <w:szCs w:val="20"/>
        </w:rPr>
        <w:t>1</w:t>
      </w:r>
      <w:r w:rsidRPr="00C530AB">
        <w:rPr>
          <w:rFonts w:ascii="仿宋" w:eastAsia="仿宋" w:hAnsi="仿宋" w:hint="eastAsia"/>
          <w:sz w:val="28"/>
          <w:szCs w:val="20"/>
        </w:rPr>
        <w:t>）</w:t>
      </w:r>
    </w:p>
    <w:p w:rsidR="009A01B4" w:rsidRDefault="009A01B4" w:rsidP="00CA2179">
      <w:pPr>
        <w:spacing w:line="520" w:lineRule="exact"/>
        <w:rPr>
          <w:rFonts w:ascii="仿宋" w:eastAsia="仿宋" w:hAnsi="仿宋"/>
          <w:sz w:val="28"/>
          <w:szCs w:val="20"/>
        </w:rPr>
      </w:pPr>
      <w:r w:rsidRPr="00C530AB">
        <w:rPr>
          <w:rFonts w:ascii="仿宋" w:eastAsia="仿宋" w:hAnsi="仿宋"/>
          <w:sz w:val="28"/>
          <w:szCs w:val="20"/>
        </w:rPr>
        <w:t>2015-2016</w:t>
      </w:r>
      <w:r w:rsidRPr="00C530AB">
        <w:rPr>
          <w:rFonts w:ascii="仿宋" w:eastAsia="仿宋" w:hAnsi="仿宋" w:hint="eastAsia"/>
          <w:sz w:val="28"/>
          <w:szCs w:val="20"/>
        </w:rPr>
        <w:t>学年第二学期学生学业预警情况分析报告</w:t>
      </w:r>
      <w:r w:rsidR="00577C92">
        <w:rPr>
          <w:rFonts w:ascii="仿宋" w:eastAsia="仿宋" w:hAnsi="仿宋" w:hint="eastAsia"/>
          <w:sz w:val="28"/>
          <w:szCs w:val="20"/>
        </w:rPr>
        <w:t xml:space="preserve"> </w:t>
      </w:r>
      <w:r w:rsidRPr="00C530AB">
        <w:rPr>
          <w:rFonts w:ascii="仿宋" w:eastAsia="仿宋" w:hAnsi="仿宋" w:hint="eastAsia"/>
          <w:sz w:val="28"/>
          <w:szCs w:val="20"/>
        </w:rPr>
        <w:t>……</w:t>
      </w:r>
      <w:proofErr w:type="gramStart"/>
      <w:r w:rsidRPr="00C530AB">
        <w:rPr>
          <w:rFonts w:ascii="仿宋" w:eastAsia="仿宋" w:hAnsi="仿宋" w:hint="eastAsia"/>
          <w:sz w:val="28"/>
          <w:szCs w:val="20"/>
        </w:rPr>
        <w:t>……</w:t>
      </w:r>
      <w:proofErr w:type="gramEnd"/>
      <w:r w:rsidRPr="00C530AB">
        <w:rPr>
          <w:rFonts w:ascii="仿宋" w:eastAsia="仿宋" w:hAnsi="仿宋" w:hint="eastAsia"/>
          <w:sz w:val="28"/>
          <w:szCs w:val="20"/>
        </w:rPr>
        <w:t>（</w:t>
      </w:r>
      <w:r w:rsidRPr="00C530AB">
        <w:rPr>
          <w:rFonts w:ascii="仿宋" w:eastAsia="仿宋" w:hAnsi="仿宋"/>
          <w:sz w:val="28"/>
          <w:szCs w:val="20"/>
        </w:rPr>
        <w:t>1</w:t>
      </w:r>
      <w:r>
        <w:rPr>
          <w:rFonts w:ascii="仿宋" w:eastAsia="仿宋" w:hAnsi="仿宋"/>
          <w:sz w:val="28"/>
          <w:szCs w:val="20"/>
        </w:rPr>
        <w:t>3</w:t>
      </w:r>
      <w:r w:rsidRPr="00C530AB">
        <w:rPr>
          <w:rFonts w:ascii="仿宋" w:eastAsia="仿宋" w:hAnsi="仿宋" w:hint="eastAsia"/>
          <w:sz w:val="28"/>
          <w:szCs w:val="20"/>
        </w:rPr>
        <w:t>）</w:t>
      </w:r>
    </w:p>
    <w:p w:rsidR="009A01B4" w:rsidRPr="00577C92" w:rsidRDefault="009A01B4" w:rsidP="00D57661">
      <w:pPr>
        <w:spacing w:line="760" w:lineRule="exact"/>
        <w:jc w:val="center"/>
        <w:rPr>
          <w:rFonts w:ascii="方正小标宋简体" w:eastAsia="方正小标宋简体" w:hAnsi="宋体"/>
          <w:sz w:val="44"/>
          <w:szCs w:val="44"/>
        </w:rPr>
      </w:pPr>
    </w:p>
    <w:p w:rsidR="009A01B4" w:rsidRDefault="009A01B4" w:rsidP="00D57661">
      <w:pPr>
        <w:spacing w:line="760" w:lineRule="exact"/>
        <w:jc w:val="center"/>
        <w:rPr>
          <w:rFonts w:ascii="方正小标宋简体" w:eastAsia="方正小标宋简体" w:hAnsi="宋体"/>
          <w:sz w:val="44"/>
          <w:szCs w:val="44"/>
        </w:rPr>
      </w:pPr>
    </w:p>
    <w:p w:rsidR="009A01B4" w:rsidRDefault="009A01B4" w:rsidP="00D57661">
      <w:pPr>
        <w:spacing w:line="760" w:lineRule="exact"/>
        <w:jc w:val="center"/>
        <w:rPr>
          <w:rFonts w:ascii="方正小标宋简体" w:eastAsia="方正小标宋简体" w:hAnsi="宋体"/>
          <w:sz w:val="44"/>
          <w:szCs w:val="44"/>
        </w:rPr>
        <w:sectPr w:rsidR="009A01B4" w:rsidSect="007173DF">
          <w:headerReference w:type="even" r:id="rId7"/>
          <w:headerReference w:type="default" r:id="rId8"/>
          <w:footerReference w:type="default" r:id="rId9"/>
          <w:pgSz w:w="11906" w:h="16838"/>
          <w:pgMar w:top="1440" w:right="1797" w:bottom="1440" w:left="1797" w:header="851" w:footer="992" w:gutter="0"/>
          <w:pgNumType w:start="0"/>
          <w:cols w:space="425"/>
          <w:docGrid w:linePitch="312"/>
        </w:sectPr>
      </w:pPr>
    </w:p>
    <w:p w:rsidR="009A01B4" w:rsidRDefault="009A01B4" w:rsidP="00CA2179">
      <w:pPr>
        <w:spacing w:line="760" w:lineRule="exact"/>
        <w:jc w:val="center"/>
        <w:rPr>
          <w:rFonts w:ascii="方正小标宋简体" w:eastAsia="方正小标宋简体" w:hAnsi="宋体"/>
          <w:sz w:val="44"/>
          <w:szCs w:val="44"/>
        </w:rPr>
      </w:pPr>
      <w:r w:rsidRPr="00CA2179">
        <w:rPr>
          <w:rFonts w:ascii="方正小标宋简体" w:eastAsia="方正小标宋简体" w:hAnsi="宋体"/>
          <w:sz w:val="44"/>
          <w:szCs w:val="44"/>
        </w:rPr>
        <w:lastRenderedPageBreak/>
        <w:t>2015-2016</w:t>
      </w:r>
      <w:r w:rsidRPr="00CA2179">
        <w:rPr>
          <w:rFonts w:ascii="方正小标宋简体" w:eastAsia="方正小标宋简体" w:hAnsi="宋体" w:hint="eastAsia"/>
          <w:sz w:val="44"/>
          <w:szCs w:val="44"/>
        </w:rPr>
        <w:t>学年第一学期</w:t>
      </w:r>
    </w:p>
    <w:p w:rsidR="009A01B4" w:rsidRPr="00244A7D" w:rsidRDefault="009A01B4" w:rsidP="00CA2179">
      <w:pPr>
        <w:spacing w:line="760" w:lineRule="exact"/>
        <w:jc w:val="center"/>
        <w:rPr>
          <w:rFonts w:ascii="方正小标宋简体" w:eastAsia="方正小标宋简体" w:hAnsi="宋体"/>
          <w:sz w:val="44"/>
          <w:szCs w:val="44"/>
        </w:rPr>
      </w:pPr>
      <w:r w:rsidRPr="00CA2179">
        <w:rPr>
          <w:rFonts w:ascii="方正小标宋简体" w:eastAsia="方正小标宋简体" w:hAnsi="宋体" w:hint="eastAsia"/>
          <w:sz w:val="44"/>
          <w:szCs w:val="44"/>
        </w:rPr>
        <w:t>学生学业考核成绩分析报告</w:t>
      </w:r>
    </w:p>
    <w:p w:rsidR="009A01B4" w:rsidRDefault="009A01B4" w:rsidP="00F37088">
      <w:pPr>
        <w:spacing w:line="520" w:lineRule="exact"/>
        <w:ind w:firstLineChars="200" w:firstLine="560"/>
        <w:rPr>
          <w:rFonts w:ascii="仿宋" w:eastAsia="仿宋" w:hAnsi="仿宋"/>
          <w:sz w:val="28"/>
          <w:szCs w:val="28"/>
        </w:rPr>
      </w:pP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2015-2016</w:t>
      </w:r>
      <w:r w:rsidRPr="00CA2179">
        <w:rPr>
          <w:rFonts w:ascii="仿宋" w:eastAsia="仿宋" w:hAnsi="仿宋" w:cs="Calibri" w:hint="eastAsia"/>
          <w:kern w:val="0"/>
          <w:sz w:val="28"/>
          <w:szCs w:val="28"/>
        </w:rPr>
        <w:t>学年第一学期学生学业考核工作已经全部结束，现对考核成绩进行分析，以便发现教学过程中存在的问题，提出改进教学的建议。</w:t>
      </w:r>
    </w:p>
    <w:p w:rsidR="009A01B4" w:rsidRPr="00BD21D0" w:rsidRDefault="009A01B4" w:rsidP="00F37088">
      <w:pPr>
        <w:autoSpaceDE w:val="0"/>
        <w:autoSpaceDN w:val="0"/>
        <w:adjustRightInd w:val="0"/>
        <w:spacing w:line="520" w:lineRule="exact"/>
        <w:ind w:firstLineChars="200" w:firstLine="562"/>
        <w:rPr>
          <w:rFonts w:ascii="黑体" w:eastAsia="黑体" w:hAnsi="黑体" w:cs="Calibri"/>
          <w:b/>
          <w:kern w:val="0"/>
          <w:sz w:val="28"/>
          <w:szCs w:val="28"/>
        </w:rPr>
      </w:pPr>
      <w:r w:rsidRPr="00BD21D0">
        <w:rPr>
          <w:rFonts w:ascii="黑体" w:eastAsia="黑体" w:hAnsi="黑体" w:cs="Calibri" w:hint="eastAsia"/>
          <w:b/>
          <w:kern w:val="0"/>
          <w:sz w:val="28"/>
          <w:szCs w:val="28"/>
        </w:rPr>
        <w:t>一、报告的分析思路</w:t>
      </w:r>
      <w:bookmarkStart w:id="0" w:name="_GoBack"/>
      <w:bookmarkEnd w:id="0"/>
      <w:r w:rsidRPr="00BD21D0">
        <w:rPr>
          <w:rFonts w:ascii="黑体" w:eastAsia="黑体" w:hAnsi="黑体" w:cs="Calibri" w:hint="eastAsia"/>
          <w:b/>
          <w:kern w:val="0"/>
          <w:sz w:val="28"/>
          <w:szCs w:val="28"/>
        </w:rPr>
        <w:t>和相关情况说明</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（一）分析思路</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本报告从学生角度分析每一个学生的所有课程成绩获得情况，主要分析成绩不及格问题，以反映在不同学院、层次和年级之间学生的学习状况。</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（二）相关情况说明</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1.</w:t>
      </w:r>
      <w:r w:rsidRPr="00CA2179">
        <w:rPr>
          <w:rFonts w:ascii="仿宋" w:eastAsia="仿宋" w:hAnsi="仿宋" w:cs="Calibri" w:hint="eastAsia"/>
          <w:kern w:val="0"/>
          <w:sz w:val="28"/>
          <w:szCs w:val="28"/>
        </w:rPr>
        <w:t>所有的数据都是从教务管理系统导出，本报告通过数据处理、分析结果取相对值和尽可能取元素较多的数据进行分析，力求保证分析结果的客观性和准确性。</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2.</w:t>
      </w:r>
      <w:r w:rsidRPr="00CA2179">
        <w:rPr>
          <w:rFonts w:ascii="仿宋" w:eastAsia="仿宋" w:hAnsi="仿宋" w:cs="Calibri" w:hint="eastAsia"/>
          <w:kern w:val="0"/>
          <w:sz w:val="28"/>
          <w:szCs w:val="28"/>
        </w:rPr>
        <w:t>由于每一个学生学习多门课程，每一门课程包括若干个学生学习，在每一个成绩数据里面，包括学生和课程两个维度。本报告用“人·门”为单位计量学生成绩的数量。</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3.</w:t>
      </w:r>
      <w:r w:rsidRPr="00CA2179">
        <w:rPr>
          <w:rFonts w:ascii="仿宋" w:eastAsia="仿宋" w:hAnsi="仿宋" w:cs="Calibri" w:hint="eastAsia"/>
          <w:kern w:val="0"/>
          <w:sz w:val="28"/>
          <w:szCs w:val="28"/>
        </w:rPr>
        <w:t>本报告主要分析教务管理系统里具体课程的成绩数据，其他教学环节如专业实习实训和创新学分等成绩数据排除在外。</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4.</w:t>
      </w:r>
      <w:r w:rsidRPr="00CA2179">
        <w:rPr>
          <w:rFonts w:ascii="仿宋" w:eastAsia="仿宋" w:hAnsi="仿宋" w:cs="Calibri" w:hint="eastAsia"/>
          <w:kern w:val="0"/>
          <w:sz w:val="28"/>
          <w:szCs w:val="28"/>
        </w:rPr>
        <w:t>由于公共选修课整体难度较低，且多为考查课，本报告在统计学生课程成绩时将公共选修课排除在外。</w:t>
      </w:r>
    </w:p>
    <w:p w:rsidR="009A01B4" w:rsidRPr="00034F24" w:rsidRDefault="009A01B4" w:rsidP="00F37088">
      <w:pPr>
        <w:autoSpaceDE w:val="0"/>
        <w:autoSpaceDN w:val="0"/>
        <w:adjustRightInd w:val="0"/>
        <w:spacing w:line="520" w:lineRule="exact"/>
        <w:ind w:firstLineChars="200" w:firstLine="562"/>
        <w:rPr>
          <w:rFonts w:ascii="黑体" w:eastAsia="黑体" w:hAnsi="黑体" w:cs="Calibri"/>
          <w:b/>
          <w:kern w:val="0"/>
          <w:sz w:val="28"/>
          <w:szCs w:val="28"/>
        </w:rPr>
      </w:pPr>
      <w:r w:rsidRPr="00034F24">
        <w:rPr>
          <w:rFonts w:ascii="黑体" w:eastAsia="黑体" w:hAnsi="黑体" w:cs="Calibri" w:hint="eastAsia"/>
          <w:b/>
          <w:kern w:val="0"/>
          <w:sz w:val="28"/>
          <w:szCs w:val="28"/>
        </w:rPr>
        <w:t>二、学生考核总体状况</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（一）参与考核的学生数量和获得成绩的数量</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lastRenderedPageBreak/>
        <w:t>全校参加考核的学生总量为</w:t>
      </w:r>
      <w:r w:rsidRPr="00CA2179">
        <w:rPr>
          <w:rFonts w:ascii="仿宋" w:eastAsia="仿宋" w:hAnsi="仿宋" w:cs="Calibri"/>
          <w:kern w:val="0"/>
          <w:sz w:val="28"/>
          <w:szCs w:val="28"/>
        </w:rPr>
        <w:t>10461</w:t>
      </w:r>
      <w:r w:rsidRPr="00CA2179">
        <w:rPr>
          <w:rFonts w:ascii="仿宋" w:eastAsia="仿宋" w:hAnsi="仿宋" w:cs="Calibri" w:hint="eastAsia"/>
          <w:kern w:val="0"/>
          <w:sz w:val="28"/>
          <w:szCs w:val="28"/>
        </w:rPr>
        <w:t>人，获得的成绩数量为</w:t>
      </w:r>
      <w:r w:rsidRPr="00CA2179">
        <w:rPr>
          <w:rFonts w:ascii="仿宋" w:eastAsia="仿宋" w:hAnsi="仿宋" w:cs="Calibri"/>
          <w:kern w:val="0"/>
          <w:sz w:val="28"/>
          <w:szCs w:val="28"/>
        </w:rPr>
        <w:t>85812</w:t>
      </w:r>
      <w:r w:rsidRPr="00CA2179">
        <w:rPr>
          <w:rFonts w:ascii="仿宋" w:eastAsia="仿宋" w:hAnsi="仿宋" w:cs="Calibri" w:hint="eastAsia"/>
          <w:kern w:val="0"/>
          <w:sz w:val="28"/>
          <w:szCs w:val="28"/>
        </w:rPr>
        <w:t>人·门。其中，本科学生为</w:t>
      </w:r>
      <w:r w:rsidRPr="00CA2179">
        <w:rPr>
          <w:rFonts w:ascii="仿宋" w:eastAsia="仿宋" w:hAnsi="仿宋" w:cs="Calibri"/>
          <w:kern w:val="0"/>
          <w:sz w:val="28"/>
          <w:szCs w:val="28"/>
        </w:rPr>
        <w:t>5870</w:t>
      </w:r>
      <w:r w:rsidRPr="00CA2179">
        <w:rPr>
          <w:rFonts w:ascii="仿宋" w:eastAsia="仿宋" w:hAnsi="仿宋" w:cs="Calibri" w:hint="eastAsia"/>
          <w:kern w:val="0"/>
          <w:sz w:val="28"/>
          <w:szCs w:val="28"/>
        </w:rPr>
        <w:t>人，专科学生为</w:t>
      </w:r>
      <w:r w:rsidRPr="00CA2179">
        <w:rPr>
          <w:rFonts w:ascii="仿宋" w:eastAsia="仿宋" w:hAnsi="仿宋" w:cs="Calibri"/>
          <w:kern w:val="0"/>
          <w:sz w:val="28"/>
          <w:szCs w:val="28"/>
        </w:rPr>
        <w:t>4591</w:t>
      </w:r>
      <w:r w:rsidRPr="00CA2179">
        <w:rPr>
          <w:rFonts w:ascii="仿宋" w:eastAsia="仿宋" w:hAnsi="仿宋" w:cs="Calibri" w:hint="eastAsia"/>
          <w:kern w:val="0"/>
          <w:sz w:val="28"/>
          <w:szCs w:val="28"/>
        </w:rPr>
        <w:t>人；本科学生获得的成绩数量为</w:t>
      </w:r>
      <w:r w:rsidRPr="00CA2179">
        <w:rPr>
          <w:rFonts w:ascii="仿宋" w:eastAsia="仿宋" w:hAnsi="仿宋" w:cs="Calibri"/>
          <w:kern w:val="0"/>
          <w:sz w:val="28"/>
          <w:szCs w:val="28"/>
        </w:rPr>
        <w:t>45324</w:t>
      </w:r>
      <w:r w:rsidRPr="00CA2179">
        <w:rPr>
          <w:rFonts w:ascii="仿宋" w:eastAsia="仿宋" w:hAnsi="仿宋" w:cs="Calibri" w:hint="eastAsia"/>
          <w:kern w:val="0"/>
          <w:sz w:val="28"/>
          <w:szCs w:val="28"/>
        </w:rPr>
        <w:t>人·门，专科学生获得的成绩数量为</w:t>
      </w:r>
      <w:r w:rsidRPr="00CA2179">
        <w:rPr>
          <w:rFonts w:ascii="仿宋" w:eastAsia="仿宋" w:hAnsi="仿宋" w:cs="Calibri"/>
          <w:kern w:val="0"/>
          <w:sz w:val="28"/>
          <w:szCs w:val="28"/>
        </w:rPr>
        <w:t>40488</w:t>
      </w:r>
      <w:r w:rsidRPr="00CA2179">
        <w:rPr>
          <w:rFonts w:ascii="仿宋" w:eastAsia="仿宋" w:hAnsi="仿宋" w:cs="Calibri" w:hint="eastAsia"/>
          <w:kern w:val="0"/>
          <w:sz w:val="28"/>
          <w:szCs w:val="28"/>
        </w:rPr>
        <w:t>人·门。</w:t>
      </w:r>
    </w:p>
    <w:tbl>
      <w:tblPr>
        <w:tblW w:w="9498" w:type="dxa"/>
        <w:jc w:val="center"/>
        <w:tblLayout w:type="fixed"/>
        <w:tblLook w:val="00A0" w:firstRow="1" w:lastRow="0" w:firstColumn="1" w:lastColumn="0" w:noHBand="0" w:noVBand="0"/>
      </w:tblPr>
      <w:tblGrid>
        <w:gridCol w:w="851"/>
        <w:gridCol w:w="865"/>
        <w:gridCol w:w="694"/>
        <w:gridCol w:w="644"/>
        <w:gridCol w:w="774"/>
        <w:gridCol w:w="709"/>
        <w:gridCol w:w="850"/>
        <w:gridCol w:w="851"/>
        <w:gridCol w:w="850"/>
        <w:gridCol w:w="851"/>
        <w:gridCol w:w="708"/>
        <w:gridCol w:w="851"/>
      </w:tblGrid>
      <w:tr w:rsidR="009A01B4" w:rsidRPr="00CA2179" w:rsidTr="00BA3752">
        <w:trPr>
          <w:trHeight w:val="674"/>
          <w:jc w:val="center"/>
        </w:trPr>
        <w:tc>
          <w:tcPr>
            <w:tcW w:w="9498" w:type="dxa"/>
            <w:gridSpan w:val="12"/>
            <w:tcBorders>
              <w:top w:val="nil"/>
              <w:left w:val="nil"/>
              <w:bottom w:val="nil"/>
              <w:right w:val="nil"/>
            </w:tcBorders>
            <w:vAlign w:val="center"/>
          </w:tcPr>
          <w:p w:rsidR="009A01B4" w:rsidRPr="00CA2179" w:rsidRDefault="009A01B4" w:rsidP="00CA2179">
            <w:pPr>
              <w:widowControl/>
              <w:jc w:val="center"/>
              <w:rPr>
                <w:rFonts w:ascii="宋体" w:hAnsi="Times New Roman" w:cs="宋体"/>
                <w:color w:val="000000"/>
                <w:kern w:val="0"/>
                <w:sz w:val="24"/>
                <w:szCs w:val="24"/>
              </w:rPr>
            </w:pPr>
            <w:r w:rsidRPr="00CA2179">
              <w:rPr>
                <w:rFonts w:ascii="宋体" w:hAnsi="宋体" w:cs="宋体" w:hint="eastAsia"/>
                <w:color w:val="000000"/>
                <w:kern w:val="0"/>
                <w:sz w:val="24"/>
                <w:szCs w:val="24"/>
              </w:rPr>
              <w:t>表</w:t>
            </w:r>
            <w:r w:rsidRPr="00CA2179">
              <w:rPr>
                <w:rFonts w:ascii="宋体" w:hAnsi="宋体" w:cs="宋体"/>
                <w:color w:val="000000"/>
                <w:kern w:val="0"/>
                <w:sz w:val="24"/>
                <w:szCs w:val="24"/>
              </w:rPr>
              <w:t xml:space="preserve">1  </w:t>
            </w:r>
            <w:r w:rsidRPr="00CA2179">
              <w:rPr>
                <w:rFonts w:ascii="宋体" w:hAnsi="宋体" w:cs="宋体" w:hint="eastAsia"/>
                <w:color w:val="000000"/>
                <w:kern w:val="0"/>
                <w:sz w:val="24"/>
                <w:szCs w:val="24"/>
              </w:rPr>
              <w:t>参与考核的学生数量及获得成绩的数量</w:t>
            </w:r>
          </w:p>
        </w:tc>
      </w:tr>
      <w:tr w:rsidR="009A01B4" w:rsidRPr="00CA2179" w:rsidTr="00BA3752">
        <w:trPr>
          <w:trHeight w:val="439"/>
          <w:jc w:val="center"/>
        </w:trPr>
        <w:tc>
          <w:tcPr>
            <w:tcW w:w="1716" w:type="dxa"/>
            <w:gridSpan w:val="2"/>
            <w:vMerge w:val="restart"/>
            <w:tcBorders>
              <w:top w:val="single" w:sz="4" w:space="0" w:color="auto"/>
              <w:left w:val="single" w:sz="4" w:space="0" w:color="auto"/>
              <w:right w:val="single" w:sz="4" w:space="0" w:color="auto"/>
              <w:tl2br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Pr>
                <w:rFonts w:ascii="宋体" w:hAnsi="宋体" w:cs="宋体"/>
                <w:color w:val="000000"/>
                <w:kern w:val="0"/>
                <w:szCs w:val="21"/>
              </w:rPr>
              <w:t xml:space="preserve">     </w:t>
            </w:r>
            <w:r w:rsidRPr="00CA2179">
              <w:rPr>
                <w:rFonts w:ascii="宋体" w:hAnsi="宋体" w:cs="宋体" w:hint="eastAsia"/>
                <w:color w:val="000000"/>
                <w:kern w:val="0"/>
                <w:szCs w:val="21"/>
              </w:rPr>
              <w:t>学生</w:t>
            </w:r>
            <w:r w:rsidRPr="00CA2179">
              <w:rPr>
                <w:rFonts w:ascii="宋体" w:hAnsi="宋体" w:cs="宋体"/>
                <w:color w:val="000000"/>
                <w:kern w:val="0"/>
                <w:szCs w:val="21"/>
              </w:rPr>
              <w:t>/</w:t>
            </w:r>
            <w:r w:rsidRPr="00CA2179">
              <w:rPr>
                <w:rFonts w:ascii="宋体" w:hAnsi="宋体" w:cs="宋体" w:hint="eastAsia"/>
                <w:color w:val="000000"/>
                <w:kern w:val="0"/>
                <w:szCs w:val="21"/>
              </w:rPr>
              <w:t>成绩</w:t>
            </w:r>
          </w:p>
          <w:p w:rsidR="009A01B4" w:rsidRPr="00CA2179" w:rsidRDefault="009A01B4" w:rsidP="00CA2179">
            <w:pPr>
              <w:rPr>
                <w:rFonts w:ascii="宋体" w:hAnsi="Times New Roman" w:cs="宋体"/>
                <w:color w:val="000000"/>
                <w:kern w:val="0"/>
                <w:szCs w:val="21"/>
              </w:rPr>
            </w:pPr>
          </w:p>
          <w:p w:rsidR="009A01B4" w:rsidRPr="00CA2179" w:rsidRDefault="009A01B4" w:rsidP="00CA2179">
            <w:pPr>
              <w:rPr>
                <w:rFonts w:ascii="宋体" w:hAnsi="Times New Roman" w:cs="宋体"/>
                <w:color w:val="000000"/>
                <w:kern w:val="0"/>
                <w:szCs w:val="21"/>
              </w:rPr>
            </w:pPr>
            <w:r w:rsidRPr="00CA2179">
              <w:rPr>
                <w:rFonts w:ascii="宋体" w:hAnsi="宋体" w:cs="宋体" w:hint="eastAsia"/>
                <w:color w:val="000000"/>
                <w:kern w:val="0"/>
                <w:szCs w:val="21"/>
              </w:rPr>
              <w:t>学院</w:t>
            </w:r>
            <w:r w:rsidRPr="00CA2179">
              <w:rPr>
                <w:rFonts w:ascii="宋体" w:hAnsi="宋体" w:cs="宋体"/>
                <w:color w:val="000000"/>
                <w:kern w:val="0"/>
                <w:szCs w:val="21"/>
              </w:rPr>
              <w:t>/</w:t>
            </w:r>
            <w:r w:rsidRPr="00CA2179">
              <w:rPr>
                <w:rFonts w:ascii="宋体" w:hAnsi="宋体" w:cs="宋体" w:hint="eastAsia"/>
                <w:color w:val="000000"/>
                <w:kern w:val="0"/>
                <w:szCs w:val="21"/>
              </w:rPr>
              <w:t>层次</w:t>
            </w:r>
          </w:p>
        </w:tc>
        <w:tc>
          <w:tcPr>
            <w:tcW w:w="2821" w:type="dxa"/>
            <w:gridSpan w:val="4"/>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学生数量（人）</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合计</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成绩数量（人</w:t>
            </w:r>
            <w:r w:rsidRPr="00CA2179">
              <w:rPr>
                <w:rFonts w:ascii="宋体" w:hAnsi="Times New Roman" w:cs="宋体"/>
                <w:color w:val="000000"/>
                <w:kern w:val="0"/>
                <w:szCs w:val="21"/>
              </w:rPr>
              <w:t>•</w:t>
            </w:r>
            <w:r w:rsidRPr="00CA2179">
              <w:rPr>
                <w:rFonts w:ascii="宋体" w:hAnsi="宋体" w:cs="宋体" w:hint="eastAsia"/>
                <w:color w:val="000000"/>
                <w:kern w:val="0"/>
                <w:szCs w:val="21"/>
              </w:rPr>
              <w:t>门）</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合计</w:t>
            </w:r>
          </w:p>
        </w:tc>
      </w:tr>
      <w:tr w:rsidR="009A01B4" w:rsidRPr="00CA2179" w:rsidTr="00BA3752">
        <w:trPr>
          <w:trHeight w:val="439"/>
          <w:jc w:val="center"/>
        </w:trPr>
        <w:tc>
          <w:tcPr>
            <w:tcW w:w="1716" w:type="dxa"/>
            <w:gridSpan w:val="2"/>
            <w:vMerge/>
            <w:tcBorders>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rPr>
                <w:rFonts w:ascii="宋体" w:hAnsi="Times New Roman" w:cs="宋体"/>
                <w:color w:val="000000"/>
                <w:kern w:val="0"/>
                <w:szCs w:val="21"/>
              </w:rPr>
            </w:pP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2015</w:t>
            </w:r>
            <w:r w:rsidRPr="00CA2179">
              <w:rPr>
                <w:rFonts w:ascii="宋体" w:hAnsi="宋体" w:cs="宋体" w:hint="eastAsia"/>
                <w:color w:val="000000"/>
                <w:kern w:val="0"/>
                <w:szCs w:val="21"/>
              </w:rPr>
              <w:t>级</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2014</w:t>
            </w:r>
            <w:r w:rsidRPr="00CA2179">
              <w:rPr>
                <w:rFonts w:ascii="宋体" w:hAnsi="宋体" w:cs="宋体" w:hint="eastAsia"/>
                <w:color w:val="000000"/>
                <w:kern w:val="0"/>
                <w:szCs w:val="21"/>
              </w:rPr>
              <w:t>级</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2013</w:t>
            </w:r>
            <w:r w:rsidRPr="00CA2179">
              <w:rPr>
                <w:rFonts w:ascii="宋体" w:hAnsi="宋体" w:cs="宋体" w:hint="eastAsia"/>
                <w:color w:val="000000"/>
                <w:kern w:val="0"/>
                <w:szCs w:val="21"/>
              </w:rPr>
              <w:t>级</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2012</w:t>
            </w:r>
            <w:r w:rsidRPr="00CA2179">
              <w:rPr>
                <w:rFonts w:ascii="宋体" w:hAnsi="宋体" w:cs="宋体" w:hint="eastAsia"/>
                <w:color w:val="000000"/>
                <w:kern w:val="0"/>
                <w:szCs w:val="21"/>
              </w:rPr>
              <w:t>级</w:t>
            </w:r>
          </w:p>
        </w:tc>
        <w:tc>
          <w:tcPr>
            <w:tcW w:w="850" w:type="dxa"/>
            <w:vMerge/>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2015</w:t>
            </w:r>
            <w:r w:rsidRPr="00CA2179">
              <w:rPr>
                <w:rFonts w:ascii="宋体" w:hAnsi="宋体" w:cs="宋体" w:hint="eastAsia"/>
                <w:color w:val="000000"/>
                <w:kern w:val="0"/>
                <w:szCs w:val="21"/>
              </w:rPr>
              <w:t>级</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2014</w:t>
            </w:r>
            <w:r w:rsidRPr="00CA2179">
              <w:rPr>
                <w:rFonts w:ascii="宋体" w:hAnsi="宋体" w:cs="宋体" w:hint="eastAsia"/>
                <w:color w:val="000000"/>
                <w:kern w:val="0"/>
                <w:szCs w:val="21"/>
              </w:rPr>
              <w:t>级</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2013</w:t>
            </w:r>
            <w:r w:rsidRPr="00CA2179">
              <w:rPr>
                <w:rFonts w:ascii="宋体" w:hAnsi="宋体" w:cs="宋体" w:hint="eastAsia"/>
                <w:color w:val="000000"/>
                <w:kern w:val="0"/>
                <w:szCs w:val="21"/>
              </w:rPr>
              <w:t>级</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2012</w:t>
            </w:r>
            <w:r w:rsidRPr="00CA2179">
              <w:rPr>
                <w:rFonts w:ascii="宋体" w:hAnsi="宋体" w:cs="宋体" w:hint="eastAsia"/>
                <w:color w:val="000000"/>
                <w:kern w:val="0"/>
                <w:szCs w:val="21"/>
              </w:rPr>
              <w:t>级</w:t>
            </w:r>
          </w:p>
        </w:tc>
        <w:tc>
          <w:tcPr>
            <w:tcW w:w="851" w:type="dxa"/>
            <w:vMerge/>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r>
      <w:tr w:rsidR="009A01B4" w:rsidRPr="00CA2179" w:rsidTr="00BA3752">
        <w:trPr>
          <w:trHeight w:val="439"/>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政治与公共管理学院</w:t>
            </w: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196</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158</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95</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578</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2081</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997</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1030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337</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4445</w:t>
            </w:r>
          </w:p>
        </w:tc>
      </w:tr>
      <w:tr w:rsidR="009A01B4" w:rsidRPr="00CA2179" w:rsidTr="00BA3752">
        <w:trPr>
          <w:trHeight w:val="439"/>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224</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191</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557</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1869</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1962</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560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4394</w:t>
            </w:r>
          </w:p>
        </w:tc>
      </w:tr>
      <w:tr w:rsidR="009A01B4" w:rsidRPr="00CA2179" w:rsidTr="00BA3752">
        <w:trPr>
          <w:trHeight w:val="439"/>
          <w:jc w:val="center"/>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经济管理学院</w:t>
            </w:r>
          </w:p>
        </w:tc>
        <w:tc>
          <w:tcPr>
            <w:tcW w:w="865"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694"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353</w:t>
            </w:r>
          </w:p>
        </w:tc>
        <w:tc>
          <w:tcPr>
            <w:tcW w:w="644"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255</w:t>
            </w:r>
          </w:p>
        </w:tc>
        <w:tc>
          <w:tcPr>
            <w:tcW w:w="774"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348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1329</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3396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1650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2866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1768</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9680</w:t>
            </w:r>
          </w:p>
        </w:tc>
      </w:tr>
      <w:tr w:rsidR="009A01B4" w:rsidRPr="00CA2179" w:rsidTr="00BA3752">
        <w:trPr>
          <w:trHeight w:val="439"/>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411</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449</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902</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3420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4081</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111</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7612</w:t>
            </w:r>
          </w:p>
        </w:tc>
      </w:tr>
      <w:tr w:rsidR="009A01B4" w:rsidRPr="00CA2179" w:rsidTr="00BA3752">
        <w:trPr>
          <w:trHeight w:val="439"/>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信息工程学院</w:t>
            </w: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195</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123</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71</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471</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1802</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774</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651</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284</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3511</w:t>
            </w:r>
          </w:p>
        </w:tc>
      </w:tr>
      <w:tr w:rsidR="009A01B4" w:rsidRPr="00CA2179" w:rsidTr="00BA3752">
        <w:trPr>
          <w:trHeight w:val="439"/>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Times New Roman" w:cs="宋体"/>
                <w:color w:val="000000"/>
                <w:kern w:val="0"/>
                <w:szCs w:val="21"/>
              </w:rPr>
              <w:t>0</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87</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91</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711</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715</w:t>
            </w:r>
          </w:p>
        </w:tc>
      </w:tr>
      <w:tr w:rsidR="009A01B4" w:rsidRPr="00CA2179" w:rsidTr="00BA3752">
        <w:trPr>
          <w:trHeight w:val="439"/>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会计学院</w:t>
            </w: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234</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192</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269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216</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911</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2494</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1472</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2037</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675</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6678</w:t>
            </w:r>
          </w:p>
        </w:tc>
      </w:tr>
      <w:tr w:rsidR="009A01B4" w:rsidRPr="00CA2179" w:rsidTr="00BA3752">
        <w:trPr>
          <w:trHeight w:val="439"/>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776</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916</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1692</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7041</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8447</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15488</w:t>
            </w:r>
          </w:p>
        </w:tc>
      </w:tr>
      <w:tr w:rsidR="009A01B4" w:rsidRPr="00CA2179" w:rsidTr="00BA3752">
        <w:trPr>
          <w:trHeight w:val="439"/>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文化传播学院</w:t>
            </w: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228</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231</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176</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888</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2638</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1694</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2585</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528</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7445</w:t>
            </w:r>
          </w:p>
        </w:tc>
      </w:tr>
      <w:tr w:rsidR="009A01B4" w:rsidRPr="00CA2179" w:rsidTr="00BA3752">
        <w:trPr>
          <w:trHeight w:val="439"/>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33</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61</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307</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297</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604</w:t>
            </w:r>
          </w:p>
        </w:tc>
      </w:tr>
      <w:tr w:rsidR="009A01B4" w:rsidRPr="00CA2179" w:rsidTr="00BA3752">
        <w:trPr>
          <w:trHeight w:val="439"/>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外国语学院</w:t>
            </w: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151</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79</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74</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398</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1575</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590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938</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268</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3371</w:t>
            </w:r>
          </w:p>
        </w:tc>
      </w:tr>
      <w:tr w:rsidR="009A01B4" w:rsidRPr="00CA2179" w:rsidTr="00BA3752">
        <w:trPr>
          <w:trHeight w:val="439"/>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140</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203</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523</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1243</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2026</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1194</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4463</w:t>
            </w:r>
          </w:p>
        </w:tc>
      </w:tr>
      <w:tr w:rsidR="009A01B4" w:rsidRPr="00CA2179" w:rsidTr="00BA3752">
        <w:trPr>
          <w:trHeight w:val="439"/>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旅游学院</w:t>
            </w: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70</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72</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186</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734</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430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44</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1208</w:t>
            </w:r>
          </w:p>
        </w:tc>
      </w:tr>
      <w:tr w:rsidR="009A01B4" w:rsidRPr="00CA2179" w:rsidTr="00BA3752">
        <w:trPr>
          <w:trHeight w:val="439"/>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64</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89</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153</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698</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907</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1605</w:t>
            </w:r>
          </w:p>
        </w:tc>
      </w:tr>
      <w:tr w:rsidR="009A01B4" w:rsidRPr="00CA2179" w:rsidTr="00BA3752">
        <w:trPr>
          <w:trHeight w:val="439"/>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舞蹈学院</w:t>
            </w: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85</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95</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103</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496</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1190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855</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1331</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387</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3763</w:t>
            </w:r>
          </w:p>
        </w:tc>
      </w:tr>
      <w:tr w:rsidR="009A01B4" w:rsidRPr="00CA2179" w:rsidTr="00BA3752">
        <w:trPr>
          <w:trHeight w:val="439"/>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92</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82</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174</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1012</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820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1832</w:t>
            </w:r>
          </w:p>
        </w:tc>
      </w:tr>
      <w:tr w:rsidR="009A01B4" w:rsidRPr="00CA2179" w:rsidTr="00BA3752">
        <w:trPr>
          <w:trHeight w:val="439"/>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设计艺术学院</w:t>
            </w: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199</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188</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168</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58</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613</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2200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1527</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1307</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189</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5223</w:t>
            </w:r>
          </w:p>
        </w:tc>
      </w:tr>
      <w:tr w:rsidR="009A01B4" w:rsidRPr="00CA2179" w:rsidTr="00BA3752">
        <w:trPr>
          <w:trHeight w:val="439"/>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865"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221</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205</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438</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1934</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1783</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58</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3775</w:t>
            </w:r>
          </w:p>
        </w:tc>
      </w:tr>
      <w:tr w:rsidR="009A01B4" w:rsidRPr="00CA2179" w:rsidTr="00BA3752">
        <w:trPr>
          <w:trHeight w:val="557"/>
          <w:jc w:val="center"/>
        </w:trPr>
        <w:tc>
          <w:tcPr>
            <w:tcW w:w="171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全校</w:t>
            </w:r>
          </w:p>
        </w:tc>
        <w:tc>
          <w:tcPr>
            <w:tcW w:w="69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3667</w:t>
            </w:r>
          </w:p>
        </w:tc>
        <w:tc>
          <w:tcPr>
            <w:tcW w:w="64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3648</w:t>
            </w:r>
          </w:p>
        </w:tc>
        <w:tc>
          <w:tcPr>
            <w:tcW w:w="774"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1974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1172</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10461</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35634</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31023</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14712</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4443</w:t>
            </w:r>
          </w:p>
        </w:tc>
        <w:tc>
          <w:tcPr>
            <w:tcW w:w="85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85812</w:t>
            </w:r>
          </w:p>
        </w:tc>
      </w:tr>
    </w:tbl>
    <w:p w:rsidR="009A01B4" w:rsidRDefault="009A01B4" w:rsidP="00CA2179">
      <w:pPr>
        <w:autoSpaceDE w:val="0"/>
        <w:autoSpaceDN w:val="0"/>
        <w:adjustRightInd w:val="0"/>
        <w:spacing w:line="360" w:lineRule="auto"/>
        <w:rPr>
          <w:rFonts w:cs="Calibri"/>
          <w:kern w:val="0"/>
          <w:sz w:val="24"/>
          <w:szCs w:val="24"/>
        </w:rPr>
      </w:pPr>
    </w:p>
    <w:p w:rsidR="009A01B4" w:rsidRPr="00CA2179" w:rsidRDefault="009A01B4" w:rsidP="00CA2179">
      <w:pPr>
        <w:autoSpaceDE w:val="0"/>
        <w:autoSpaceDN w:val="0"/>
        <w:adjustRightInd w:val="0"/>
        <w:spacing w:line="360" w:lineRule="auto"/>
        <w:rPr>
          <w:rFonts w:cs="Calibri"/>
          <w:kern w:val="0"/>
          <w:sz w:val="24"/>
          <w:szCs w:val="24"/>
        </w:rPr>
      </w:pP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lastRenderedPageBreak/>
        <w:t>（二）</w:t>
      </w:r>
      <w:r w:rsidRPr="00573A43">
        <w:rPr>
          <w:rFonts w:ascii="仿宋" w:eastAsia="仿宋" w:hAnsi="仿宋" w:cs="Calibri" w:hint="eastAsia"/>
          <w:kern w:val="0"/>
          <w:sz w:val="28"/>
          <w:szCs w:val="28"/>
        </w:rPr>
        <w:t>不及格的学生及课程总体情况</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全校共有</w:t>
      </w:r>
      <w:r w:rsidRPr="00CA2179">
        <w:rPr>
          <w:rFonts w:ascii="仿宋" w:eastAsia="仿宋" w:hAnsi="仿宋" w:cs="Calibri"/>
          <w:kern w:val="0"/>
          <w:sz w:val="28"/>
          <w:szCs w:val="28"/>
        </w:rPr>
        <w:t>2425</w:t>
      </w:r>
      <w:r w:rsidRPr="00CA2179">
        <w:rPr>
          <w:rFonts w:ascii="仿宋" w:eastAsia="仿宋" w:hAnsi="仿宋" w:cs="Calibri" w:hint="eastAsia"/>
          <w:kern w:val="0"/>
          <w:sz w:val="28"/>
          <w:szCs w:val="28"/>
        </w:rPr>
        <w:t>名学生出现一门或一门以上课程不及格现象，不及格成绩数量合计为</w:t>
      </w:r>
      <w:r w:rsidRPr="00CA2179">
        <w:rPr>
          <w:rFonts w:ascii="仿宋" w:eastAsia="仿宋" w:hAnsi="仿宋" w:cs="Calibri"/>
          <w:kern w:val="0"/>
          <w:sz w:val="28"/>
          <w:szCs w:val="28"/>
        </w:rPr>
        <w:t>4094</w:t>
      </w:r>
      <w:r w:rsidRPr="00CA2179">
        <w:rPr>
          <w:rFonts w:ascii="仿宋" w:eastAsia="仿宋" w:hAnsi="仿宋" w:cs="Calibri" w:hint="eastAsia"/>
          <w:kern w:val="0"/>
          <w:sz w:val="28"/>
          <w:szCs w:val="28"/>
        </w:rPr>
        <w:t>人·门。其中，</w:t>
      </w:r>
      <w:r w:rsidRPr="00CA2179">
        <w:rPr>
          <w:rFonts w:ascii="仿宋" w:eastAsia="仿宋" w:hAnsi="仿宋" w:cs="Calibri"/>
          <w:kern w:val="0"/>
          <w:sz w:val="28"/>
          <w:szCs w:val="28"/>
        </w:rPr>
        <w:t>1119</w:t>
      </w:r>
      <w:r w:rsidRPr="00CA2179">
        <w:rPr>
          <w:rFonts w:ascii="仿宋" w:eastAsia="仿宋" w:hAnsi="仿宋" w:cs="Calibri" w:hint="eastAsia"/>
          <w:kern w:val="0"/>
          <w:sz w:val="28"/>
          <w:szCs w:val="28"/>
        </w:rPr>
        <w:t>名本科学生一门或一门以上课程不及格，</w:t>
      </w:r>
      <w:r w:rsidRPr="00CA2179">
        <w:rPr>
          <w:rFonts w:ascii="仿宋" w:eastAsia="仿宋" w:hAnsi="仿宋" w:cs="Calibri"/>
          <w:kern w:val="0"/>
          <w:sz w:val="28"/>
          <w:szCs w:val="28"/>
        </w:rPr>
        <w:t>1306</w:t>
      </w:r>
      <w:r w:rsidRPr="00CA2179">
        <w:rPr>
          <w:rFonts w:ascii="仿宋" w:eastAsia="仿宋" w:hAnsi="仿宋" w:cs="Calibri" w:hint="eastAsia"/>
          <w:kern w:val="0"/>
          <w:sz w:val="28"/>
          <w:szCs w:val="28"/>
        </w:rPr>
        <w:t>名专科学生一门或一门以上课程不及格；本科学生不及格的成绩数量为</w:t>
      </w:r>
      <w:r w:rsidRPr="00CA2179">
        <w:rPr>
          <w:rFonts w:ascii="仿宋" w:eastAsia="仿宋" w:hAnsi="仿宋" w:cs="Calibri"/>
          <w:kern w:val="0"/>
          <w:sz w:val="28"/>
          <w:szCs w:val="28"/>
        </w:rPr>
        <w:t>1766</w:t>
      </w:r>
      <w:r w:rsidRPr="00CA2179">
        <w:rPr>
          <w:rFonts w:ascii="仿宋" w:eastAsia="仿宋" w:hAnsi="仿宋" w:cs="Calibri" w:hint="eastAsia"/>
          <w:kern w:val="0"/>
          <w:sz w:val="28"/>
          <w:szCs w:val="28"/>
        </w:rPr>
        <w:t>人·门，有不及格现象的本科生中平均每个学生约有</w:t>
      </w:r>
      <w:r w:rsidRPr="00CA2179">
        <w:rPr>
          <w:rFonts w:ascii="仿宋" w:eastAsia="仿宋" w:hAnsi="仿宋" w:cs="Calibri"/>
          <w:kern w:val="0"/>
          <w:sz w:val="28"/>
          <w:szCs w:val="28"/>
        </w:rPr>
        <w:t>1.58</w:t>
      </w:r>
      <w:r w:rsidRPr="00CA2179">
        <w:rPr>
          <w:rFonts w:ascii="仿宋" w:eastAsia="仿宋" w:hAnsi="仿宋" w:cs="Calibri" w:hint="eastAsia"/>
          <w:kern w:val="0"/>
          <w:sz w:val="28"/>
          <w:szCs w:val="28"/>
        </w:rPr>
        <w:t>门课程不及格；专科学生不及格的成绩数量为</w:t>
      </w:r>
      <w:r w:rsidRPr="00CA2179">
        <w:rPr>
          <w:rFonts w:ascii="仿宋" w:eastAsia="仿宋" w:hAnsi="仿宋" w:cs="Calibri"/>
          <w:kern w:val="0"/>
          <w:sz w:val="28"/>
          <w:szCs w:val="28"/>
        </w:rPr>
        <w:t>2328</w:t>
      </w:r>
      <w:r w:rsidRPr="00CA2179">
        <w:rPr>
          <w:rFonts w:ascii="仿宋" w:eastAsia="仿宋" w:hAnsi="仿宋" w:cs="Calibri" w:hint="eastAsia"/>
          <w:kern w:val="0"/>
          <w:sz w:val="28"/>
          <w:szCs w:val="28"/>
        </w:rPr>
        <w:t>人·门，有不及格现象的专科生中平均每个学生约有</w:t>
      </w:r>
      <w:r w:rsidRPr="00CA2179">
        <w:rPr>
          <w:rFonts w:ascii="仿宋" w:eastAsia="仿宋" w:hAnsi="仿宋" w:cs="Calibri"/>
          <w:kern w:val="0"/>
          <w:sz w:val="28"/>
          <w:szCs w:val="28"/>
        </w:rPr>
        <w:t>1.78</w:t>
      </w:r>
      <w:r w:rsidRPr="00CA2179">
        <w:rPr>
          <w:rFonts w:ascii="仿宋" w:eastAsia="仿宋" w:hAnsi="仿宋" w:cs="Calibri" w:hint="eastAsia"/>
          <w:kern w:val="0"/>
          <w:sz w:val="28"/>
          <w:szCs w:val="28"/>
        </w:rPr>
        <w:t>门课程不及格。</w:t>
      </w:r>
    </w:p>
    <w:tbl>
      <w:tblPr>
        <w:tblW w:w="8931" w:type="dxa"/>
        <w:tblInd w:w="-176" w:type="dxa"/>
        <w:tblLayout w:type="fixed"/>
        <w:tblLook w:val="00A0" w:firstRow="1" w:lastRow="0" w:firstColumn="1" w:lastColumn="0" w:noHBand="0" w:noVBand="0"/>
      </w:tblPr>
      <w:tblGrid>
        <w:gridCol w:w="993"/>
        <w:gridCol w:w="709"/>
        <w:gridCol w:w="709"/>
        <w:gridCol w:w="708"/>
        <w:gridCol w:w="709"/>
        <w:gridCol w:w="709"/>
        <w:gridCol w:w="850"/>
        <w:gridCol w:w="709"/>
        <w:gridCol w:w="709"/>
        <w:gridCol w:w="709"/>
        <w:gridCol w:w="708"/>
        <w:gridCol w:w="709"/>
      </w:tblGrid>
      <w:tr w:rsidR="009A01B4" w:rsidRPr="00CA2179" w:rsidTr="00CA2179">
        <w:trPr>
          <w:trHeight w:val="322"/>
        </w:trPr>
        <w:tc>
          <w:tcPr>
            <w:tcW w:w="8931" w:type="dxa"/>
            <w:gridSpan w:val="12"/>
            <w:tcBorders>
              <w:top w:val="nil"/>
              <w:left w:val="nil"/>
              <w:bottom w:val="nil"/>
              <w:right w:val="nil"/>
            </w:tcBorders>
            <w:vAlign w:val="center"/>
          </w:tcPr>
          <w:p w:rsidR="009A01B4" w:rsidRPr="00CA2179" w:rsidRDefault="009A01B4" w:rsidP="005554CC">
            <w:pPr>
              <w:widowControl/>
              <w:spacing w:beforeLines="50" w:before="120" w:afterLines="50" w:after="120"/>
              <w:jc w:val="center"/>
              <w:rPr>
                <w:rFonts w:ascii="宋体" w:hAnsi="Times New Roman" w:cs="宋体"/>
                <w:color w:val="000000"/>
                <w:kern w:val="0"/>
                <w:szCs w:val="21"/>
              </w:rPr>
            </w:pPr>
            <w:r w:rsidRPr="00CA2179">
              <w:rPr>
                <w:rFonts w:ascii="宋体" w:hAnsi="宋体" w:cs="宋体" w:hint="eastAsia"/>
                <w:color w:val="000000"/>
                <w:kern w:val="0"/>
                <w:sz w:val="24"/>
                <w:szCs w:val="24"/>
              </w:rPr>
              <w:t>表</w:t>
            </w:r>
            <w:r w:rsidRPr="00CA2179">
              <w:rPr>
                <w:rFonts w:ascii="宋体" w:hAnsi="宋体" w:cs="宋体"/>
                <w:color w:val="000000"/>
                <w:kern w:val="0"/>
                <w:sz w:val="24"/>
                <w:szCs w:val="24"/>
              </w:rPr>
              <w:t xml:space="preserve">2  </w:t>
            </w:r>
            <w:r w:rsidRPr="00CA2179">
              <w:rPr>
                <w:rFonts w:ascii="宋体" w:hAnsi="宋体" w:cs="宋体" w:hint="eastAsia"/>
                <w:color w:val="000000"/>
                <w:kern w:val="0"/>
                <w:sz w:val="24"/>
                <w:szCs w:val="24"/>
              </w:rPr>
              <w:t>不及格学生的数量和不及格成绩的数量</w:t>
            </w:r>
          </w:p>
        </w:tc>
      </w:tr>
      <w:tr w:rsidR="009A01B4" w:rsidRPr="00CA2179" w:rsidTr="004042BD">
        <w:trPr>
          <w:trHeight w:val="474"/>
        </w:trPr>
        <w:tc>
          <w:tcPr>
            <w:tcW w:w="1702" w:type="dxa"/>
            <w:gridSpan w:val="2"/>
            <w:vMerge w:val="restart"/>
            <w:tcBorders>
              <w:top w:val="single" w:sz="4" w:space="0" w:color="auto"/>
              <w:left w:val="single" w:sz="4" w:space="0" w:color="auto"/>
              <w:right w:val="single" w:sz="4" w:space="0" w:color="auto"/>
              <w:tl2br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 xml:space="preserve">     </w:t>
            </w:r>
            <w:r w:rsidRPr="00CA2179">
              <w:rPr>
                <w:rFonts w:ascii="宋体" w:hAnsi="宋体" w:cs="宋体" w:hint="eastAsia"/>
                <w:color w:val="000000"/>
                <w:kern w:val="0"/>
                <w:szCs w:val="21"/>
              </w:rPr>
              <w:t>学生</w:t>
            </w:r>
            <w:r w:rsidRPr="00CA2179">
              <w:rPr>
                <w:rFonts w:ascii="宋体" w:hAnsi="宋体" w:cs="宋体"/>
                <w:color w:val="000000"/>
                <w:kern w:val="0"/>
                <w:szCs w:val="21"/>
              </w:rPr>
              <w:t>/</w:t>
            </w:r>
            <w:r w:rsidRPr="00CA2179">
              <w:rPr>
                <w:rFonts w:ascii="宋体" w:hAnsi="宋体" w:cs="宋体" w:hint="eastAsia"/>
                <w:color w:val="000000"/>
                <w:kern w:val="0"/>
                <w:szCs w:val="21"/>
              </w:rPr>
              <w:t>成绩</w:t>
            </w:r>
            <w:r w:rsidRPr="00CA2179">
              <w:rPr>
                <w:rFonts w:ascii="宋体" w:hAnsi="宋体" w:cs="宋体"/>
                <w:color w:val="000000"/>
                <w:kern w:val="0"/>
                <w:szCs w:val="21"/>
              </w:rPr>
              <w:t xml:space="preserve">                             </w:t>
            </w:r>
          </w:p>
          <w:p w:rsidR="009A01B4" w:rsidRPr="00CA2179" w:rsidRDefault="009A01B4" w:rsidP="00CA2179">
            <w:pPr>
              <w:rPr>
                <w:rFonts w:ascii="宋体" w:hAnsi="Times New Roman" w:cs="宋体"/>
                <w:color w:val="000000"/>
                <w:kern w:val="0"/>
                <w:szCs w:val="21"/>
              </w:rPr>
            </w:pPr>
          </w:p>
          <w:p w:rsidR="009A01B4" w:rsidRPr="00CA2179" w:rsidRDefault="009A01B4" w:rsidP="00CA2179">
            <w:pPr>
              <w:rPr>
                <w:rFonts w:ascii="宋体" w:hAnsi="Times New Roman" w:cs="宋体"/>
                <w:color w:val="000000"/>
                <w:kern w:val="0"/>
                <w:szCs w:val="21"/>
              </w:rPr>
            </w:pPr>
            <w:r w:rsidRPr="00CA2179">
              <w:rPr>
                <w:rFonts w:ascii="宋体" w:hAnsi="宋体" w:cs="宋体" w:hint="eastAsia"/>
                <w:color w:val="000000"/>
                <w:kern w:val="0"/>
                <w:szCs w:val="21"/>
              </w:rPr>
              <w:t>学院</w:t>
            </w:r>
            <w:r w:rsidRPr="00CA2179">
              <w:rPr>
                <w:rFonts w:ascii="宋体" w:hAnsi="宋体" w:cs="宋体"/>
                <w:color w:val="000000"/>
                <w:kern w:val="0"/>
                <w:szCs w:val="21"/>
              </w:rPr>
              <w:t>/</w:t>
            </w:r>
            <w:r w:rsidRPr="00CA2179">
              <w:rPr>
                <w:rFonts w:ascii="宋体" w:hAnsi="宋体" w:cs="宋体" w:hint="eastAsia"/>
                <w:color w:val="000000"/>
                <w:kern w:val="0"/>
                <w:szCs w:val="21"/>
              </w:rPr>
              <w:t>层次</w:t>
            </w:r>
          </w:p>
        </w:tc>
        <w:tc>
          <w:tcPr>
            <w:tcW w:w="2835" w:type="dxa"/>
            <w:gridSpan w:val="4"/>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不及格学生数量（人）</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合计</w:t>
            </w:r>
          </w:p>
        </w:tc>
        <w:tc>
          <w:tcPr>
            <w:tcW w:w="2835" w:type="dxa"/>
            <w:gridSpan w:val="4"/>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不及格成绩数量（人</w:t>
            </w:r>
            <w:r w:rsidRPr="00CA2179">
              <w:rPr>
                <w:rFonts w:ascii="宋体" w:hAnsi="Times New Roman" w:cs="宋体"/>
                <w:color w:val="000000"/>
                <w:kern w:val="0"/>
                <w:szCs w:val="21"/>
              </w:rPr>
              <w:t>•</w:t>
            </w:r>
            <w:r w:rsidRPr="00CA2179">
              <w:rPr>
                <w:rFonts w:ascii="宋体" w:hAnsi="宋体" w:cs="宋体" w:hint="eastAsia"/>
                <w:color w:val="000000"/>
                <w:kern w:val="0"/>
                <w:szCs w:val="21"/>
              </w:rPr>
              <w:t>门）</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合计</w:t>
            </w:r>
          </w:p>
        </w:tc>
      </w:tr>
      <w:tr w:rsidR="009A01B4" w:rsidRPr="00CA2179" w:rsidTr="004042BD">
        <w:trPr>
          <w:trHeight w:val="552"/>
        </w:trPr>
        <w:tc>
          <w:tcPr>
            <w:tcW w:w="1702" w:type="dxa"/>
            <w:gridSpan w:val="2"/>
            <w:vMerge/>
            <w:tcBorders>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2015</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2012</w:t>
            </w:r>
          </w:p>
        </w:tc>
        <w:tc>
          <w:tcPr>
            <w:tcW w:w="850" w:type="dxa"/>
            <w:vMerge/>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2013</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2012</w:t>
            </w:r>
          </w:p>
        </w:tc>
        <w:tc>
          <w:tcPr>
            <w:tcW w:w="709" w:type="dxa"/>
            <w:vMerge/>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r>
      <w:tr w:rsidR="009A01B4" w:rsidRPr="00CA2179" w:rsidTr="00CA2179">
        <w:trPr>
          <w:trHeight w:val="444"/>
        </w:trPr>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政治与公共管理学院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39</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46</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113</w:t>
            </w:r>
          </w:p>
        </w:tc>
      </w:tr>
      <w:tr w:rsidR="009A01B4" w:rsidRPr="00CA2179" w:rsidTr="00CA2179">
        <w:trPr>
          <w:trHeight w:val="444"/>
        </w:trPr>
        <w:tc>
          <w:tcPr>
            <w:tcW w:w="993"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55</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51</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215</w:t>
            </w:r>
          </w:p>
        </w:tc>
      </w:tr>
      <w:tr w:rsidR="009A01B4" w:rsidRPr="00CA2179" w:rsidTr="00CA2179">
        <w:trPr>
          <w:trHeight w:val="444"/>
        </w:trPr>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经济管理学院</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55</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267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380</w:t>
            </w:r>
          </w:p>
        </w:tc>
      </w:tr>
      <w:tr w:rsidR="009A01B4" w:rsidRPr="00CA2179" w:rsidTr="00CA2179">
        <w:trPr>
          <w:trHeight w:val="444"/>
        </w:trPr>
        <w:tc>
          <w:tcPr>
            <w:tcW w:w="993"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314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357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33</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593</w:t>
            </w:r>
          </w:p>
        </w:tc>
      </w:tr>
      <w:tr w:rsidR="009A01B4" w:rsidRPr="00CA2179" w:rsidTr="00CA2179">
        <w:trPr>
          <w:trHeight w:val="444"/>
        </w:trPr>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信息工程学院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56</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121</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175</w:t>
            </w:r>
          </w:p>
        </w:tc>
      </w:tr>
      <w:tr w:rsidR="009A01B4" w:rsidRPr="00CA2179" w:rsidTr="00CA2179">
        <w:trPr>
          <w:trHeight w:val="444"/>
        </w:trPr>
        <w:tc>
          <w:tcPr>
            <w:tcW w:w="993"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Times New Roman"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111</w:t>
            </w:r>
          </w:p>
        </w:tc>
      </w:tr>
      <w:tr w:rsidR="009A01B4" w:rsidRPr="00CA2179" w:rsidTr="00CA2179">
        <w:trPr>
          <w:trHeight w:val="444"/>
        </w:trPr>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会计学院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32</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48</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71</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91</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210</w:t>
            </w:r>
          </w:p>
        </w:tc>
      </w:tr>
      <w:tr w:rsidR="009A01B4" w:rsidRPr="00CA2179" w:rsidTr="00CA2179">
        <w:trPr>
          <w:trHeight w:val="444"/>
        </w:trPr>
        <w:tc>
          <w:tcPr>
            <w:tcW w:w="993"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145</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292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437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551</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761</w:t>
            </w:r>
          </w:p>
        </w:tc>
      </w:tr>
      <w:tr w:rsidR="009A01B4" w:rsidRPr="00CA2179" w:rsidTr="00CA2179">
        <w:trPr>
          <w:trHeight w:val="444"/>
        </w:trPr>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文化传播学院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69</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35</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108</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71</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86</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302</w:t>
            </w:r>
          </w:p>
        </w:tc>
      </w:tr>
      <w:tr w:rsidR="009A01B4" w:rsidRPr="00CA2179" w:rsidTr="00CA2179">
        <w:trPr>
          <w:trHeight w:val="444"/>
        </w:trPr>
        <w:tc>
          <w:tcPr>
            <w:tcW w:w="993"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23</w:t>
            </w:r>
          </w:p>
        </w:tc>
      </w:tr>
      <w:tr w:rsidR="009A01B4" w:rsidRPr="00CA2179" w:rsidTr="00CA2179">
        <w:trPr>
          <w:trHeight w:val="444"/>
        </w:trPr>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外国语学院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29</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133</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209</w:t>
            </w:r>
          </w:p>
        </w:tc>
      </w:tr>
      <w:tr w:rsidR="009A01B4" w:rsidRPr="00CA2179" w:rsidTr="00CA2179">
        <w:trPr>
          <w:trHeight w:val="444"/>
        </w:trPr>
        <w:tc>
          <w:tcPr>
            <w:tcW w:w="993"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108</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89</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219</w:t>
            </w:r>
          </w:p>
        </w:tc>
      </w:tr>
      <w:tr w:rsidR="009A01B4" w:rsidRPr="00CA2179" w:rsidTr="00CA2179">
        <w:trPr>
          <w:trHeight w:val="444"/>
        </w:trPr>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旅游学院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34</w:t>
            </w:r>
          </w:p>
        </w:tc>
      </w:tr>
      <w:tr w:rsidR="009A01B4" w:rsidRPr="00CA2179" w:rsidTr="00CA2179">
        <w:trPr>
          <w:trHeight w:val="444"/>
        </w:trPr>
        <w:tc>
          <w:tcPr>
            <w:tcW w:w="993"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89</w:t>
            </w:r>
          </w:p>
        </w:tc>
      </w:tr>
      <w:tr w:rsidR="009A01B4" w:rsidRPr="00CA2179" w:rsidTr="00CA2179">
        <w:trPr>
          <w:trHeight w:val="444"/>
        </w:trPr>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舞蹈学院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62</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156</w:t>
            </w:r>
          </w:p>
        </w:tc>
      </w:tr>
      <w:tr w:rsidR="009A01B4" w:rsidRPr="00CA2179" w:rsidTr="00CA2179">
        <w:trPr>
          <w:trHeight w:val="444"/>
        </w:trPr>
        <w:tc>
          <w:tcPr>
            <w:tcW w:w="993"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48</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63</w:t>
            </w:r>
          </w:p>
        </w:tc>
      </w:tr>
      <w:tr w:rsidR="009A01B4" w:rsidRPr="00CA2179" w:rsidTr="00CA2179">
        <w:trPr>
          <w:trHeight w:val="444"/>
        </w:trPr>
        <w:tc>
          <w:tcPr>
            <w:tcW w:w="993"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lastRenderedPageBreak/>
              <w:t>设计艺术学院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87</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187</w:t>
            </w:r>
          </w:p>
        </w:tc>
      </w:tr>
      <w:tr w:rsidR="009A01B4" w:rsidRPr="00CA2179" w:rsidTr="00CA2179">
        <w:trPr>
          <w:trHeight w:val="444"/>
        </w:trPr>
        <w:tc>
          <w:tcPr>
            <w:tcW w:w="993"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93</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161</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118</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254</w:t>
            </w:r>
          </w:p>
        </w:tc>
      </w:tr>
      <w:tr w:rsidR="009A01B4" w:rsidRPr="00CA2179" w:rsidTr="00CA2179">
        <w:trPr>
          <w:trHeight w:val="444"/>
        </w:trPr>
        <w:tc>
          <w:tcPr>
            <w:tcW w:w="170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全校</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955</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1046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339</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85</w:t>
            </w:r>
          </w:p>
        </w:tc>
        <w:tc>
          <w:tcPr>
            <w:tcW w:w="85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2425</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1366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1946</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690</w:t>
            </w:r>
          </w:p>
        </w:tc>
        <w:tc>
          <w:tcPr>
            <w:tcW w:w="70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92</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4094</w:t>
            </w:r>
          </w:p>
        </w:tc>
      </w:tr>
    </w:tbl>
    <w:p w:rsidR="009A01B4" w:rsidRPr="00CA2179" w:rsidRDefault="009A01B4" w:rsidP="00CA2179">
      <w:pPr>
        <w:autoSpaceDE w:val="0"/>
        <w:autoSpaceDN w:val="0"/>
        <w:adjustRightInd w:val="0"/>
        <w:spacing w:line="360" w:lineRule="auto"/>
        <w:rPr>
          <w:rFonts w:cs="Calibri"/>
          <w:kern w:val="0"/>
          <w:sz w:val="24"/>
          <w:szCs w:val="24"/>
        </w:rPr>
      </w:pPr>
    </w:p>
    <w:p w:rsidR="009A01B4" w:rsidRPr="00CA2179" w:rsidRDefault="009A01B4" w:rsidP="00F37088">
      <w:pPr>
        <w:autoSpaceDE w:val="0"/>
        <w:autoSpaceDN w:val="0"/>
        <w:adjustRightInd w:val="0"/>
        <w:spacing w:line="520" w:lineRule="atLeast"/>
        <w:ind w:firstLineChars="200" w:firstLine="562"/>
        <w:rPr>
          <w:rFonts w:ascii="黑体" w:eastAsia="黑体" w:hAnsi="黑体" w:cs="宋体"/>
          <w:b/>
          <w:kern w:val="0"/>
          <w:sz w:val="28"/>
          <w:szCs w:val="28"/>
          <w:lang w:val="zh-CN"/>
        </w:rPr>
      </w:pPr>
      <w:r w:rsidRPr="00CA2179">
        <w:rPr>
          <w:rFonts w:ascii="黑体" w:eastAsia="黑体" w:hAnsi="黑体" w:cs="宋体" w:hint="eastAsia"/>
          <w:b/>
          <w:kern w:val="0"/>
          <w:sz w:val="28"/>
          <w:szCs w:val="28"/>
          <w:lang w:val="zh-CN"/>
        </w:rPr>
        <w:t>三、学生不及格情况分析</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（一）三门及以上课程不及格的学生情况</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三门及以上课程不及格的学生占到全校不及格学生总数的</w:t>
      </w:r>
      <w:r w:rsidRPr="00CA2179">
        <w:rPr>
          <w:rFonts w:ascii="仿宋" w:eastAsia="仿宋" w:hAnsi="仿宋" w:cs="Calibri"/>
          <w:kern w:val="0"/>
          <w:sz w:val="28"/>
          <w:szCs w:val="28"/>
        </w:rPr>
        <w:t>16.21%</w:t>
      </w:r>
      <w:r w:rsidRPr="00CA2179">
        <w:rPr>
          <w:rFonts w:ascii="仿宋" w:eastAsia="仿宋" w:hAnsi="仿宋" w:cs="Calibri" w:hint="eastAsia"/>
          <w:kern w:val="0"/>
          <w:sz w:val="28"/>
          <w:szCs w:val="28"/>
        </w:rPr>
        <w:t>，但是，三门及以上课程不及格学生的不及格成绩总数量</w:t>
      </w:r>
      <w:r w:rsidRPr="00CA2179">
        <w:rPr>
          <w:rFonts w:ascii="仿宋" w:eastAsia="仿宋" w:hAnsi="仿宋" w:cs="Calibri"/>
          <w:kern w:val="0"/>
          <w:sz w:val="28"/>
          <w:szCs w:val="28"/>
        </w:rPr>
        <w:t>1695</w:t>
      </w:r>
      <w:r w:rsidRPr="00CA2179">
        <w:rPr>
          <w:rFonts w:ascii="仿宋" w:eastAsia="仿宋" w:hAnsi="仿宋" w:cs="Calibri" w:hint="eastAsia"/>
          <w:kern w:val="0"/>
          <w:sz w:val="28"/>
          <w:szCs w:val="28"/>
        </w:rPr>
        <w:t>人·门占到了全部不及格成绩总数量的</w:t>
      </w:r>
      <w:r w:rsidRPr="00CA2179">
        <w:rPr>
          <w:rFonts w:ascii="仿宋" w:eastAsia="仿宋" w:hAnsi="仿宋" w:cs="Calibri"/>
          <w:kern w:val="0"/>
          <w:sz w:val="28"/>
          <w:szCs w:val="28"/>
        </w:rPr>
        <w:t>41.45%</w:t>
      </w:r>
      <w:r w:rsidRPr="00CA2179">
        <w:rPr>
          <w:rFonts w:ascii="仿宋" w:eastAsia="仿宋" w:hAnsi="仿宋" w:cs="Calibri" w:hint="eastAsia"/>
          <w:kern w:val="0"/>
          <w:sz w:val="28"/>
          <w:szCs w:val="28"/>
        </w:rPr>
        <w:t>，因此，</w:t>
      </w:r>
      <w:r>
        <w:rPr>
          <w:rFonts w:ascii="仿宋" w:eastAsia="仿宋" w:hAnsi="仿宋" w:cs="Calibri" w:hint="eastAsia"/>
          <w:kern w:val="0"/>
          <w:sz w:val="28"/>
          <w:szCs w:val="28"/>
        </w:rPr>
        <w:t>该小部分学生的</w:t>
      </w:r>
      <w:r w:rsidRPr="00CA2179">
        <w:rPr>
          <w:rFonts w:ascii="仿宋" w:eastAsia="仿宋" w:hAnsi="仿宋" w:cs="Calibri" w:hint="eastAsia"/>
          <w:kern w:val="0"/>
          <w:sz w:val="28"/>
          <w:szCs w:val="28"/>
        </w:rPr>
        <w:t>多门课程不及格是导致全校不及格率增大的一个主要因素。</w:t>
      </w:r>
    </w:p>
    <w:tbl>
      <w:tblPr>
        <w:tblW w:w="8095" w:type="dxa"/>
        <w:tblInd w:w="250" w:type="dxa"/>
        <w:tblLayout w:type="fixed"/>
        <w:tblLook w:val="00A0" w:firstRow="1" w:lastRow="0" w:firstColumn="1" w:lastColumn="0" w:noHBand="0" w:noVBand="0"/>
      </w:tblPr>
      <w:tblGrid>
        <w:gridCol w:w="1654"/>
        <w:gridCol w:w="940"/>
        <w:gridCol w:w="1100"/>
        <w:gridCol w:w="1100"/>
        <w:gridCol w:w="1100"/>
        <w:gridCol w:w="1100"/>
        <w:gridCol w:w="1101"/>
      </w:tblGrid>
      <w:tr w:rsidR="009A01B4" w:rsidRPr="00CA2179" w:rsidTr="00CA2179">
        <w:trPr>
          <w:trHeight w:val="596"/>
        </w:trPr>
        <w:tc>
          <w:tcPr>
            <w:tcW w:w="8095" w:type="dxa"/>
            <w:gridSpan w:val="7"/>
            <w:tcBorders>
              <w:top w:val="nil"/>
              <w:left w:val="nil"/>
              <w:bottom w:val="nil"/>
              <w:right w:val="nil"/>
            </w:tcBorders>
            <w:vAlign w:val="center"/>
          </w:tcPr>
          <w:p w:rsidR="009A01B4" w:rsidRPr="00CA2179" w:rsidRDefault="009A01B4" w:rsidP="00CA2179">
            <w:pPr>
              <w:widowControl/>
              <w:jc w:val="center"/>
              <w:rPr>
                <w:rFonts w:ascii="宋体" w:hAnsi="Times New Roman" w:cs="宋体"/>
                <w:color w:val="000000"/>
                <w:kern w:val="0"/>
                <w:sz w:val="24"/>
                <w:szCs w:val="24"/>
              </w:rPr>
            </w:pPr>
            <w:r w:rsidRPr="00CA2179">
              <w:rPr>
                <w:rFonts w:ascii="宋体" w:hAnsi="宋体" w:cs="宋体" w:hint="eastAsia"/>
                <w:color w:val="000000"/>
                <w:kern w:val="0"/>
                <w:sz w:val="24"/>
                <w:szCs w:val="24"/>
              </w:rPr>
              <w:t>表</w:t>
            </w:r>
            <w:r w:rsidRPr="00CA2179">
              <w:rPr>
                <w:rFonts w:ascii="宋体" w:hAnsi="宋体" w:cs="宋体"/>
                <w:color w:val="000000"/>
                <w:kern w:val="0"/>
                <w:sz w:val="24"/>
                <w:szCs w:val="24"/>
              </w:rPr>
              <w:t xml:space="preserve">3  </w:t>
            </w:r>
            <w:r w:rsidRPr="00CA2179">
              <w:rPr>
                <w:rFonts w:ascii="宋体" w:hAnsi="宋体" w:cs="宋体" w:hint="eastAsia"/>
                <w:color w:val="000000"/>
                <w:kern w:val="0"/>
                <w:sz w:val="24"/>
                <w:szCs w:val="24"/>
              </w:rPr>
              <w:t>三门及以上课程不及格的学生数量</w:t>
            </w:r>
          </w:p>
        </w:tc>
      </w:tr>
      <w:tr w:rsidR="009A01B4" w:rsidRPr="00CA2179" w:rsidTr="00CA2179">
        <w:trPr>
          <w:trHeight w:val="1062"/>
        </w:trPr>
        <w:tc>
          <w:tcPr>
            <w:tcW w:w="2594" w:type="dxa"/>
            <w:gridSpan w:val="2"/>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 xml:space="preserve">                </w:t>
            </w:r>
            <w:r w:rsidRPr="00CA2179">
              <w:rPr>
                <w:rFonts w:ascii="宋体" w:hAnsi="宋体" w:cs="宋体" w:hint="eastAsia"/>
                <w:color w:val="000000"/>
                <w:kern w:val="0"/>
                <w:szCs w:val="21"/>
              </w:rPr>
              <w:t>年</w:t>
            </w:r>
            <w:r w:rsidRPr="00CA2179">
              <w:rPr>
                <w:rFonts w:ascii="宋体" w:hAnsi="宋体" w:cs="宋体"/>
                <w:color w:val="000000"/>
                <w:kern w:val="0"/>
                <w:szCs w:val="21"/>
              </w:rPr>
              <w:t xml:space="preserve">  </w:t>
            </w:r>
            <w:r w:rsidRPr="00CA2179">
              <w:rPr>
                <w:rFonts w:ascii="宋体" w:hAnsi="宋体" w:cs="宋体" w:hint="eastAsia"/>
                <w:color w:val="000000"/>
                <w:kern w:val="0"/>
                <w:szCs w:val="21"/>
              </w:rPr>
              <w:t>级</w:t>
            </w:r>
          </w:p>
          <w:p w:rsidR="009A01B4" w:rsidRPr="00CA2179" w:rsidRDefault="009A01B4" w:rsidP="00CA2179">
            <w:pPr>
              <w:rPr>
                <w:rFonts w:ascii="宋体" w:hAnsi="Times New Roman" w:cs="宋体"/>
                <w:color w:val="000000"/>
                <w:kern w:val="0"/>
                <w:szCs w:val="21"/>
              </w:rPr>
            </w:pPr>
          </w:p>
          <w:p w:rsidR="009A01B4" w:rsidRPr="00CA2179" w:rsidRDefault="009A01B4" w:rsidP="00CA2179">
            <w:pPr>
              <w:rPr>
                <w:rFonts w:ascii="宋体" w:hAnsi="Times New Roman" w:cs="宋体"/>
                <w:color w:val="000000"/>
                <w:kern w:val="0"/>
                <w:szCs w:val="21"/>
              </w:rPr>
            </w:pPr>
            <w:r w:rsidRPr="00CA2179">
              <w:rPr>
                <w:rFonts w:ascii="宋体" w:hAnsi="宋体" w:cs="宋体" w:hint="eastAsia"/>
                <w:color w:val="000000"/>
                <w:kern w:val="0"/>
                <w:szCs w:val="21"/>
              </w:rPr>
              <w:t>学院</w:t>
            </w:r>
            <w:r w:rsidRPr="00CA2179">
              <w:rPr>
                <w:rFonts w:ascii="宋体" w:hAnsi="宋体" w:cs="宋体"/>
                <w:color w:val="000000"/>
                <w:kern w:val="0"/>
                <w:szCs w:val="21"/>
              </w:rPr>
              <w:t>/</w:t>
            </w:r>
            <w:r w:rsidRPr="00CA2179">
              <w:rPr>
                <w:rFonts w:ascii="宋体" w:hAnsi="宋体" w:cs="宋体" w:hint="eastAsia"/>
                <w:color w:val="000000"/>
                <w:kern w:val="0"/>
                <w:szCs w:val="21"/>
              </w:rPr>
              <w:t>层次</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2015</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2014</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2013</w:t>
            </w:r>
          </w:p>
        </w:tc>
        <w:tc>
          <w:tcPr>
            <w:tcW w:w="1100"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2012</w:t>
            </w:r>
          </w:p>
        </w:tc>
        <w:tc>
          <w:tcPr>
            <w:tcW w:w="1101"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人数合计</w:t>
            </w:r>
          </w:p>
        </w:tc>
      </w:tr>
      <w:tr w:rsidR="009A01B4" w:rsidRPr="00CA2179" w:rsidTr="00CA2179">
        <w:trPr>
          <w:trHeight w:val="428"/>
        </w:trPr>
        <w:tc>
          <w:tcPr>
            <w:tcW w:w="1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政治与公共管理学院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Times New Roman"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w:t>
            </w:r>
          </w:p>
        </w:tc>
      </w:tr>
      <w:tr w:rsidR="009A01B4" w:rsidRPr="00CA2179" w:rsidTr="00CA2179">
        <w:trPr>
          <w:trHeight w:val="428"/>
        </w:trPr>
        <w:tc>
          <w:tcPr>
            <w:tcW w:w="1654"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w:t>
            </w:r>
          </w:p>
        </w:tc>
      </w:tr>
      <w:tr w:rsidR="009A01B4" w:rsidRPr="00CA2179" w:rsidTr="00CA2179">
        <w:trPr>
          <w:trHeight w:val="428"/>
        </w:trPr>
        <w:tc>
          <w:tcPr>
            <w:tcW w:w="1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经济管理学院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1101"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w:t>
            </w:r>
          </w:p>
        </w:tc>
      </w:tr>
      <w:tr w:rsidR="009A01B4" w:rsidRPr="00CA2179" w:rsidTr="00CA2179">
        <w:trPr>
          <w:trHeight w:val="428"/>
        </w:trPr>
        <w:tc>
          <w:tcPr>
            <w:tcW w:w="1654"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52</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71</w:t>
            </w:r>
          </w:p>
        </w:tc>
      </w:tr>
      <w:tr w:rsidR="009A01B4" w:rsidRPr="00CA2179" w:rsidTr="00CA2179">
        <w:trPr>
          <w:trHeight w:val="428"/>
        </w:trPr>
        <w:tc>
          <w:tcPr>
            <w:tcW w:w="16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信息工程学院</w:t>
            </w:r>
          </w:p>
        </w:tc>
        <w:tc>
          <w:tcPr>
            <w:tcW w:w="94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1100"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w:t>
            </w:r>
          </w:p>
        </w:tc>
      </w:tr>
      <w:tr w:rsidR="009A01B4" w:rsidRPr="00CA2179" w:rsidTr="00CA2179">
        <w:trPr>
          <w:trHeight w:val="428"/>
        </w:trPr>
        <w:tc>
          <w:tcPr>
            <w:tcW w:w="1654"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Times New Roman"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w:t>
            </w:r>
          </w:p>
        </w:tc>
      </w:tr>
      <w:tr w:rsidR="009A01B4" w:rsidRPr="00CA2179" w:rsidTr="00CA2179">
        <w:trPr>
          <w:trHeight w:val="428"/>
        </w:trPr>
        <w:tc>
          <w:tcPr>
            <w:tcW w:w="1654"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会计学院</w:t>
            </w: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w:t>
            </w:r>
          </w:p>
        </w:tc>
      </w:tr>
      <w:tr w:rsidR="009A01B4" w:rsidRPr="00CA2179" w:rsidTr="00CA2179">
        <w:trPr>
          <w:trHeight w:val="428"/>
        </w:trPr>
        <w:tc>
          <w:tcPr>
            <w:tcW w:w="1654"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78</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95</w:t>
            </w:r>
          </w:p>
        </w:tc>
      </w:tr>
      <w:tr w:rsidR="009A01B4" w:rsidRPr="00CA2179" w:rsidTr="00CA2179">
        <w:trPr>
          <w:trHeight w:val="428"/>
        </w:trPr>
        <w:tc>
          <w:tcPr>
            <w:tcW w:w="1654"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文化传播学院</w:t>
            </w: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w:t>
            </w:r>
          </w:p>
        </w:tc>
      </w:tr>
      <w:tr w:rsidR="009A01B4" w:rsidRPr="00CA2179" w:rsidTr="00CA2179">
        <w:trPr>
          <w:trHeight w:val="428"/>
        </w:trPr>
        <w:tc>
          <w:tcPr>
            <w:tcW w:w="1654"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r>
      <w:tr w:rsidR="009A01B4" w:rsidRPr="00CA2179" w:rsidTr="00CA2179">
        <w:trPr>
          <w:trHeight w:val="428"/>
        </w:trPr>
        <w:tc>
          <w:tcPr>
            <w:tcW w:w="1654"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外国语学院</w:t>
            </w: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w:t>
            </w:r>
          </w:p>
        </w:tc>
      </w:tr>
      <w:tr w:rsidR="009A01B4" w:rsidRPr="00CA2179" w:rsidTr="00CA2179">
        <w:trPr>
          <w:trHeight w:val="428"/>
        </w:trPr>
        <w:tc>
          <w:tcPr>
            <w:tcW w:w="1654"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30</w:t>
            </w:r>
          </w:p>
        </w:tc>
      </w:tr>
      <w:tr w:rsidR="009A01B4" w:rsidRPr="00CA2179" w:rsidTr="00CA2179">
        <w:trPr>
          <w:trHeight w:val="428"/>
        </w:trPr>
        <w:tc>
          <w:tcPr>
            <w:tcW w:w="1654"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旅游学院</w:t>
            </w: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r>
      <w:tr w:rsidR="009A01B4" w:rsidRPr="00CA2179" w:rsidTr="00CA2179">
        <w:trPr>
          <w:trHeight w:val="428"/>
        </w:trPr>
        <w:tc>
          <w:tcPr>
            <w:tcW w:w="1654"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w:t>
            </w:r>
          </w:p>
        </w:tc>
      </w:tr>
      <w:tr w:rsidR="009A01B4" w:rsidRPr="00CA2179" w:rsidTr="00CA2179">
        <w:trPr>
          <w:trHeight w:val="428"/>
        </w:trPr>
        <w:tc>
          <w:tcPr>
            <w:tcW w:w="1654"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lastRenderedPageBreak/>
              <w:t>舞蹈学院</w:t>
            </w: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w:t>
            </w:r>
          </w:p>
        </w:tc>
      </w:tr>
      <w:tr w:rsidR="009A01B4" w:rsidRPr="00CA2179" w:rsidTr="00CA2179">
        <w:trPr>
          <w:trHeight w:val="428"/>
        </w:trPr>
        <w:tc>
          <w:tcPr>
            <w:tcW w:w="1654"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r>
      <w:tr w:rsidR="009A01B4" w:rsidRPr="00CA2179" w:rsidTr="00CA2179">
        <w:trPr>
          <w:trHeight w:val="428"/>
        </w:trPr>
        <w:tc>
          <w:tcPr>
            <w:tcW w:w="1654"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设计艺术学院</w:t>
            </w: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w:t>
            </w:r>
          </w:p>
        </w:tc>
      </w:tr>
      <w:tr w:rsidR="009A01B4" w:rsidRPr="00CA2179" w:rsidTr="00CA2179">
        <w:trPr>
          <w:trHeight w:val="428"/>
        </w:trPr>
        <w:tc>
          <w:tcPr>
            <w:tcW w:w="1654"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4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w:t>
            </w:r>
          </w:p>
        </w:tc>
        <w:tc>
          <w:tcPr>
            <w:tcW w:w="110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w:t>
            </w:r>
          </w:p>
        </w:tc>
      </w:tr>
      <w:tr w:rsidR="009A01B4" w:rsidRPr="00CA2179" w:rsidTr="00CA2179">
        <w:trPr>
          <w:trHeight w:val="428"/>
        </w:trPr>
        <w:tc>
          <w:tcPr>
            <w:tcW w:w="259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全校</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82</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234</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76</w:t>
            </w:r>
          </w:p>
        </w:tc>
        <w:tc>
          <w:tcPr>
            <w:tcW w:w="1100"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w:t>
            </w:r>
          </w:p>
        </w:tc>
        <w:tc>
          <w:tcPr>
            <w:tcW w:w="1101"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393</w:t>
            </w:r>
          </w:p>
        </w:tc>
      </w:tr>
    </w:tbl>
    <w:p w:rsidR="009A01B4" w:rsidRPr="00CA2179" w:rsidRDefault="009A01B4">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（二）全校和各学院学生不及格率和成绩不及格率分析</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从全校来看，</w:t>
      </w:r>
      <w:r w:rsidRPr="00CA2179">
        <w:rPr>
          <w:rFonts w:ascii="仿宋" w:eastAsia="仿宋" w:hAnsi="仿宋" w:cs="Calibri"/>
          <w:kern w:val="0"/>
          <w:sz w:val="28"/>
          <w:szCs w:val="28"/>
        </w:rPr>
        <w:t>23.18%</w:t>
      </w:r>
      <w:r w:rsidRPr="00CA2179">
        <w:rPr>
          <w:rFonts w:ascii="仿宋" w:eastAsia="仿宋" w:hAnsi="仿宋" w:cs="Calibri" w:hint="eastAsia"/>
          <w:kern w:val="0"/>
          <w:sz w:val="28"/>
          <w:szCs w:val="28"/>
        </w:rPr>
        <w:t>的学生出现一门或一门以上课程不及格现象，其中，本科学生为</w:t>
      </w:r>
      <w:r w:rsidRPr="00CA2179">
        <w:rPr>
          <w:rFonts w:ascii="仿宋" w:eastAsia="仿宋" w:hAnsi="仿宋" w:cs="Calibri"/>
          <w:kern w:val="0"/>
          <w:sz w:val="28"/>
          <w:szCs w:val="28"/>
        </w:rPr>
        <w:t>19.06%</w:t>
      </w:r>
      <w:r w:rsidRPr="00CA2179">
        <w:rPr>
          <w:rFonts w:ascii="仿宋" w:eastAsia="仿宋" w:hAnsi="仿宋" w:cs="Calibri" w:hint="eastAsia"/>
          <w:kern w:val="0"/>
          <w:sz w:val="28"/>
          <w:szCs w:val="28"/>
        </w:rPr>
        <w:t>，专科学生为</w:t>
      </w:r>
      <w:r w:rsidRPr="00CA2179">
        <w:rPr>
          <w:rFonts w:ascii="仿宋" w:eastAsia="仿宋" w:hAnsi="仿宋" w:cs="Calibri"/>
          <w:kern w:val="0"/>
          <w:sz w:val="28"/>
          <w:szCs w:val="28"/>
        </w:rPr>
        <w:t>28.45%</w:t>
      </w:r>
      <w:r w:rsidRPr="00CA2179">
        <w:rPr>
          <w:rFonts w:ascii="仿宋" w:eastAsia="仿宋" w:hAnsi="仿宋" w:cs="Calibri" w:hint="eastAsia"/>
          <w:kern w:val="0"/>
          <w:sz w:val="28"/>
          <w:szCs w:val="28"/>
        </w:rPr>
        <w:t>；不及格成绩人</w:t>
      </w:r>
      <w:r w:rsidRPr="00034F24">
        <w:rPr>
          <w:rFonts w:ascii="Î¢ÈíÑÅºÚ Western" w:eastAsia="微软雅黑" w:hAnsi="Î¢ÈíÑÅºÚ Western" w:cs="Î¢ÈíÑÅºÚ Western"/>
          <w:kern w:val="0"/>
          <w:sz w:val="28"/>
          <w:szCs w:val="28"/>
        </w:rPr>
        <w:t>•</w:t>
      </w:r>
      <w:r w:rsidRPr="00CA2179">
        <w:rPr>
          <w:rFonts w:ascii="仿宋" w:eastAsia="仿宋" w:hAnsi="仿宋" w:cs="Calibri" w:hint="eastAsia"/>
          <w:kern w:val="0"/>
          <w:sz w:val="28"/>
          <w:szCs w:val="28"/>
        </w:rPr>
        <w:t>门数占总成绩人·门数的</w:t>
      </w:r>
      <w:r w:rsidRPr="00CA2179">
        <w:rPr>
          <w:rFonts w:ascii="仿宋" w:eastAsia="仿宋" w:hAnsi="仿宋" w:cs="Calibri"/>
          <w:kern w:val="0"/>
          <w:sz w:val="28"/>
          <w:szCs w:val="28"/>
        </w:rPr>
        <w:t>4.77%</w:t>
      </w:r>
      <w:r w:rsidRPr="00CA2179">
        <w:rPr>
          <w:rFonts w:ascii="仿宋" w:eastAsia="仿宋" w:hAnsi="仿宋" w:cs="Calibri" w:hint="eastAsia"/>
          <w:kern w:val="0"/>
          <w:sz w:val="28"/>
          <w:szCs w:val="28"/>
        </w:rPr>
        <w:t>。各学院之间不及格学生占比与不及格成绩人·门数占比基本呈正相关关系。具体分析如下：</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1.</w:t>
      </w:r>
      <w:r w:rsidRPr="00CA2179">
        <w:rPr>
          <w:rFonts w:ascii="仿宋" w:eastAsia="仿宋" w:hAnsi="仿宋" w:cs="Calibri" w:hint="eastAsia"/>
          <w:kern w:val="0"/>
          <w:sz w:val="28"/>
          <w:szCs w:val="28"/>
        </w:rPr>
        <w:t>年级之间不及格率分析</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从上述数据分析，各学院年级之间的不及格率分布不一，没有什么规律可循，反映不出年级之间学习状况的差异；从全校来看，高年级学生的不及格率要比低年级学生的不及格率要小。但是，并不能说明高年级学生的学习状况要比低年级学生的学习状况好，因为学习的课程不同。高年级学生学习的专业课较多，在课程内容上要比公共课容易一些，考试及格率也就高一些。</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2.</w:t>
      </w:r>
      <w:r w:rsidRPr="00CA2179">
        <w:rPr>
          <w:rFonts w:ascii="仿宋" w:eastAsia="仿宋" w:hAnsi="仿宋" w:cs="Calibri" w:hint="eastAsia"/>
          <w:kern w:val="0"/>
          <w:sz w:val="28"/>
          <w:szCs w:val="28"/>
        </w:rPr>
        <w:t>层次之间不及格率分析</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从上述数据分析，大部分学院专科学生的不及格率要明显高于本科学生的不及格率；从全校来看，专科学生的不及格率要比本科学生的不及格率高出</w:t>
      </w:r>
      <w:r w:rsidRPr="00CA2179">
        <w:rPr>
          <w:rFonts w:ascii="仿宋" w:eastAsia="仿宋" w:hAnsi="仿宋" w:cs="Calibri"/>
          <w:kern w:val="0"/>
          <w:sz w:val="28"/>
          <w:szCs w:val="28"/>
        </w:rPr>
        <w:t>9.39</w:t>
      </w:r>
      <w:r w:rsidRPr="00CA2179">
        <w:rPr>
          <w:rFonts w:ascii="仿宋" w:eastAsia="仿宋" w:hAnsi="仿宋" w:cs="Calibri" w:hint="eastAsia"/>
          <w:kern w:val="0"/>
          <w:sz w:val="28"/>
          <w:szCs w:val="28"/>
        </w:rPr>
        <w:t>个百分点。从整体来看，专科学生的学习状况要明显地差于本科学生，这既跟生源质量有关，又跟授课质量及教师要求严格与否有关。</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3.</w:t>
      </w:r>
      <w:r w:rsidRPr="00CA2179">
        <w:rPr>
          <w:rFonts w:ascii="仿宋" w:eastAsia="仿宋" w:hAnsi="仿宋" w:cs="Calibri" w:hint="eastAsia"/>
          <w:kern w:val="0"/>
          <w:sz w:val="28"/>
          <w:szCs w:val="28"/>
        </w:rPr>
        <w:t>学院之间不及格率分析</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从整体来看，信息工程学院、设计艺术学院、经济管理学院学生不</w:t>
      </w:r>
      <w:r w:rsidRPr="00CA2179">
        <w:rPr>
          <w:rFonts w:ascii="仿宋" w:eastAsia="仿宋" w:hAnsi="仿宋" w:cs="Calibri" w:hint="eastAsia"/>
          <w:kern w:val="0"/>
          <w:sz w:val="28"/>
          <w:szCs w:val="28"/>
        </w:rPr>
        <w:lastRenderedPageBreak/>
        <w:t>及格率普遍较高，这是因为这三个学院的专科学生不及格率过高导致了全院不及格率较高；政治与公共管理学院、外国语学院和旅游学院学生不及格率相对较低。从本科学生来看，信息工程学院、文化传播学院、舞蹈学院和外国语学院学生的不及格率相对较高。</w:t>
      </w:r>
    </w:p>
    <w:p w:rsidR="009A01B4" w:rsidRPr="00CA2179" w:rsidRDefault="009A01B4" w:rsidP="00CA2179">
      <w:pPr>
        <w:widowControl/>
        <w:jc w:val="center"/>
        <w:rPr>
          <w:rFonts w:ascii="宋体" w:hAnsi="Times New Roman" w:cs="宋体"/>
          <w:color w:val="000000"/>
          <w:kern w:val="0"/>
          <w:sz w:val="18"/>
          <w:szCs w:val="18"/>
        </w:rPr>
      </w:pPr>
    </w:p>
    <w:tbl>
      <w:tblPr>
        <w:tblW w:w="11199" w:type="dxa"/>
        <w:jc w:val="center"/>
        <w:tblLayout w:type="fixed"/>
        <w:tblLook w:val="00A0" w:firstRow="1" w:lastRow="0" w:firstColumn="1" w:lastColumn="0" w:noHBand="0" w:noVBand="0"/>
      </w:tblPr>
      <w:tblGrid>
        <w:gridCol w:w="851"/>
        <w:gridCol w:w="709"/>
        <w:gridCol w:w="993"/>
        <w:gridCol w:w="992"/>
        <w:gridCol w:w="992"/>
        <w:gridCol w:w="992"/>
        <w:gridCol w:w="850"/>
        <w:gridCol w:w="992"/>
        <w:gridCol w:w="993"/>
        <w:gridCol w:w="992"/>
        <w:gridCol w:w="992"/>
        <w:gridCol w:w="851"/>
      </w:tblGrid>
      <w:tr w:rsidR="009A01B4" w:rsidRPr="00CA2179" w:rsidTr="00E8058B">
        <w:trPr>
          <w:trHeight w:val="405"/>
          <w:jc w:val="center"/>
        </w:trPr>
        <w:tc>
          <w:tcPr>
            <w:tcW w:w="11199" w:type="dxa"/>
            <w:gridSpan w:val="12"/>
            <w:tcBorders>
              <w:top w:val="nil"/>
              <w:left w:val="nil"/>
              <w:bottom w:val="nil"/>
              <w:right w:val="nil"/>
            </w:tcBorders>
            <w:vAlign w:val="center"/>
          </w:tcPr>
          <w:p w:rsidR="009A01B4" w:rsidRPr="00CA2179" w:rsidRDefault="009A01B4" w:rsidP="00BA3752">
            <w:pPr>
              <w:widowControl/>
              <w:jc w:val="center"/>
              <w:rPr>
                <w:rFonts w:ascii="宋体" w:hAnsi="Times New Roman" w:cs="宋体"/>
                <w:color w:val="000000"/>
                <w:kern w:val="0"/>
                <w:sz w:val="18"/>
                <w:szCs w:val="18"/>
              </w:rPr>
            </w:pPr>
            <w:r w:rsidRPr="00CA2179">
              <w:rPr>
                <w:rFonts w:ascii="宋体" w:hAnsi="宋体" w:cs="宋体" w:hint="eastAsia"/>
                <w:color w:val="000000"/>
                <w:kern w:val="0"/>
                <w:sz w:val="24"/>
                <w:szCs w:val="24"/>
              </w:rPr>
              <w:t>表</w:t>
            </w:r>
            <w:r w:rsidRPr="00CA2179">
              <w:rPr>
                <w:rFonts w:ascii="宋体" w:hAnsi="宋体" w:cs="宋体"/>
                <w:color w:val="000000"/>
                <w:kern w:val="0"/>
                <w:sz w:val="24"/>
                <w:szCs w:val="24"/>
              </w:rPr>
              <w:t xml:space="preserve">4  </w:t>
            </w:r>
            <w:r w:rsidRPr="00CA2179">
              <w:rPr>
                <w:rFonts w:ascii="宋体" w:hAnsi="宋体" w:cs="宋体" w:hint="eastAsia"/>
                <w:color w:val="000000"/>
                <w:kern w:val="0"/>
                <w:sz w:val="24"/>
                <w:szCs w:val="24"/>
              </w:rPr>
              <w:t>各学院不及格学生占比和不及格成绩</w:t>
            </w:r>
            <w:proofErr w:type="gramStart"/>
            <w:r w:rsidRPr="00CA2179">
              <w:rPr>
                <w:rFonts w:ascii="宋体" w:hAnsi="宋体" w:cs="宋体" w:hint="eastAsia"/>
                <w:color w:val="000000"/>
                <w:kern w:val="0"/>
                <w:sz w:val="24"/>
                <w:szCs w:val="24"/>
              </w:rPr>
              <w:t>占比表</w:t>
            </w:r>
            <w:proofErr w:type="gramEnd"/>
          </w:p>
        </w:tc>
      </w:tr>
      <w:tr w:rsidR="009A01B4" w:rsidRPr="00CA2179" w:rsidTr="00E8058B">
        <w:trPr>
          <w:trHeight w:val="405"/>
          <w:jc w:val="center"/>
        </w:trPr>
        <w:tc>
          <w:tcPr>
            <w:tcW w:w="1560" w:type="dxa"/>
            <w:gridSpan w:val="2"/>
            <w:vMerge w:val="restart"/>
            <w:tcBorders>
              <w:top w:val="single" w:sz="4" w:space="0" w:color="auto"/>
              <w:left w:val="single" w:sz="4" w:space="0" w:color="auto"/>
              <w:right w:val="single" w:sz="4" w:space="0" w:color="auto"/>
              <w:tl2br w:val="single" w:sz="4" w:space="0" w:color="auto"/>
            </w:tcBorders>
            <w:shd w:val="clear" w:color="000000" w:fill="FFFFFF"/>
            <w:vAlign w:val="center"/>
          </w:tcPr>
          <w:p w:rsidR="009A01B4" w:rsidRDefault="009A01B4" w:rsidP="00CA2179">
            <w:pPr>
              <w:widowControl/>
              <w:jc w:val="center"/>
              <w:rPr>
                <w:rFonts w:ascii="宋体" w:cs="宋体"/>
                <w:color w:val="000000"/>
                <w:kern w:val="0"/>
                <w:szCs w:val="21"/>
              </w:rPr>
            </w:pPr>
            <w:r>
              <w:rPr>
                <w:rFonts w:ascii="宋体" w:hAnsi="宋体" w:cs="宋体"/>
                <w:color w:val="000000"/>
                <w:kern w:val="0"/>
                <w:szCs w:val="21"/>
              </w:rPr>
              <w:t xml:space="preserve">  </w:t>
            </w:r>
            <w:r w:rsidRPr="00E8058B">
              <w:rPr>
                <w:rFonts w:ascii="宋体" w:hAnsi="宋体" w:cs="宋体" w:hint="eastAsia"/>
                <w:color w:val="000000"/>
                <w:kern w:val="0"/>
                <w:szCs w:val="21"/>
              </w:rPr>
              <w:t>学生</w:t>
            </w:r>
            <w:r w:rsidRPr="00E8058B">
              <w:rPr>
                <w:rFonts w:ascii="宋体" w:hAnsi="宋体" w:cs="宋体"/>
                <w:color w:val="000000"/>
                <w:kern w:val="0"/>
                <w:szCs w:val="21"/>
              </w:rPr>
              <w:t>/</w:t>
            </w:r>
            <w:r w:rsidRPr="00E8058B">
              <w:rPr>
                <w:rFonts w:ascii="宋体" w:hAnsi="宋体" w:cs="宋体" w:hint="eastAsia"/>
                <w:color w:val="000000"/>
                <w:kern w:val="0"/>
                <w:szCs w:val="21"/>
              </w:rPr>
              <w:t>成绩</w:t>
            </w:r>
          </w:p>
          <w:p w:rsidR="009A01B4" w:rsidRPr="00CA2179" w:rsidRDefault="009A01B4" w:rsidP="00CA2179">
            <w:pPr>
              <w:widowControl/>
              <w:jc w:val="center"/>
              <w:rPr>
                <w:rFonts w:ascii="宋体" w:hAnsi="Times New Roman" w:cs="宋体"/>
                <w:color w:val="000000"/>
                <w:kern w:val="0"/>
                <w:szCs w:val="21"/>
              </w:rPr>
            </w:pPr>
          </w:p>
          <w:p w:rsidR="009A01B4" w:rsidRPr="00CA2179" w:rsidRDefault="009A01B4" w:rsidP="00CA2179">
            <w:pPr>
              <w:rPr>
                <w:rFonts w:ascii="宋体" w:hAnsi="Times New Roman" w:cs="宋体"/>
                <w:color w:val="000000"/>
                <w:kern w:val="0"/>
                <w:szCs w:val="21"/>
              </w:rPr>
            </w:pPr>
            <w:r w:rsidRPr="00CA2179">
              <w:rPr>
                <w:rFonts w:ascii="宋体" w:hAnsi="宋体" w:cs="宋体" w:hint="eastAsia"/>
                <w:color w:val="000000"/>
                <w:kern w:val="0"/>
                <w:szCs w:val="21"/>
              </w:rPr>
              <w:t>学院</w:t>
            </w:r>
            <w:r w:rsidRPr="00CA2179">
              <w:rPr>
                <w:rFonts w:ascii="宋体" w:hAnsi="宋体" w:cs="宋体"/>
                <w:color w:val="000000"/>
                <w:kern w:val="0"/>
                <w:szCs w:val="21"/>
              </w:rPr>
              <w:t>/</w:t>
            </w:r>
            <w:r w:rsidRPr="00CA2179">
              <w:rPr>
                <w:rFonts w:ascii="宋体" w:hAnsi="宋体" w:cs="宋体" w:hint="eastAsia"/>
                <w:color w:val="000000"/>
                <w:kern w:val="0"/>
                <w:szCs w:val="21"/>
              </w:rPr>
              <w:t>层次</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不及格学生占比</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合计</w:t>
            </w:r>
          </w:p>
        </w:tc>
        <w:tc>
          <w:tcPr>
            <w:tcW w:w="3969" w:type="dxa"/>
            <w:gridSpan w:val="4"/>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不及格成绩数量占比</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合计</w:t>
            </w:r>
          </w:p>
        </w:tc>
      </w:tr>
      <w:tr w:rsidR="009A01B4" w:rsidRPr="00CA2179" w:rsidTr="00E8058B">
        <w:trPr>
          <w:trHeight w:val="743"/>
          <w:jc w:val="center"/>
        </w:trPr>
        <w:tc>
          <w:tcPr>
            <w:tcW w:w="1560" w:type="dxa"/>
            <w:gridSpan w:val="2"/>
            <w:vMerge/>
            <w:tcBorders>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rPr>
                <w:rFonts w:ascii="宋体" w:hAnsi="Times New Roman" w:cs="宋体"/>
                <w:color w:val="000000"/>
                <w:kern w:val="0"/>
                <w:szCs w:val="21"/>
              </w:rPr>
            </w:pP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2015</w:t>
            </w:r>
            <w:r w:rsidRPr="00CA2179">
              <w:rPr>
                <w:rFonts w:ascii="宋体" w:hAnsi="宋体" w:cs="宋体" w:hint="eastAsia"/>
                <w:color w:val="000000"/>
                <w:kern w:val="0"/>
                <w:szCs w:val="21"/>
              </w:rPr>
              <w:t>级</w:t>
            </w:r>
          </w:p>
        </w:tc>
        <w:tc>
          <w:tcPr>
            <w:tcW w:w="992"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2014</w:t>
            </w:r>
            <w:r w:rsidRPr="00CA2179">
              <w:rPr>
                <w:rFonts w:ascii="宋体" w:hAnsi="宋体" w:cs="宋体" w:hint="eastAsia"/>
                <w:color w:val="000000"/>
                <w:kern w:val="0"/>
                <w:szCs w:val="21"/>
              </w:rPr>
              <w:t>级</w:t>
            </w:r>
          </w:p>
        </w:tc>
        <w:tc>
          <w:tcPr>
            <w:tcW w:w="992"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2013</w:t>
            </w:r>
            <w:r w:rsidRPr="00CA2179">
              <w:rPr>
                <w:rFonts w:ascii="宋体" w:hAnsi="宋体" w:cs="宋体" w:hint="eastAsia"/>
                <w:color w:val="000000"/>
                <w:kern w:val="0"/>
                <w:szCs w:val="21"/>
              </w:rPr>
              <w:t>级</w:t>
            </w:r>
          </w:p>
        </w:tc>
        <w:tc>
          <w:tcPr>
            <w:tcW w:w="992"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2012</w:t>
            </w:r>
            <w:r w:rsidRPr="00CA2179">
              <w:rPr>
                <w:rFonts w:ascii="宋体" w:hAnsi="宋体" w:cs="宋体" w:hint="eastAsia"/>
                <w:color w:val="000000"/>
                <w:kern w:val="0"/>
                <w:szCs w:val="21"/>
              </w:rPr>
              <w:t>级</w:t>
            </w:r>
          </w:p>
        </w:tc>
        <w:tc>
          <w:tcPr>
            <w:tcW w:w="850" w:type="dxa"/>
            <w:vMerge/>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992"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2015</w:t>
            </w:r>
            <w:r w:rsidRPr="00CA2179">
              <w:rPr>
                <w:rFonts w:ascii="宋体" w:hAnsi="宋体" w:cs="宋体" w:hint="eastAsia"/>
                <w:color w:val="000000"/>
                <w:kern w:val="0"/>
                <w:szCs w:val="21"/>
              </w:rPr>
              <w:t>级</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2014</w:t>
            </w:r>
            <w:r w:rsidRPr="00CA2179">
              <w:rPr>
                <w:rFonts w:ascii="宋体" w:hAnsi="宋体" w:cs="宋体" w:hint="eastAsia"/>
                <w:color w:val="000000"/>
                <w:kern w:val="0"/>
                <w:szCs w:val="21"/>
              </w:rPr>
              <w:t>级</w:t>
            </w:r>
          </w:p>
        </w:tc>
        <w:tc>
          <w:tcPr>
            <w:tcW w:w="992"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2013</w:t>
            </w:r>
            <w:r w:rsidRPr="00CA2179">
              <w:rPr>
                <w:rFonts w:ascii="宋体" w:hAnsi="宋体" w:cs="宋体" w:hint="eastAsia"/>
                <w:color w:val="000000"/>
                <w:kern w:val="0"/>
                <w:szCs w:val="21"/>
              </w:rPr>
              <w:t>级</w:t>
            </w:r>
          </w:p>
        </w:tc>
        <w:tc>
          <w:tcPr>
            <w:tcW w:w="992"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color w:val="000000"/>
                <w:kern w:val="0"/>
                <w:szCs w:val="21"/>
              </w:rPr>
              <w:t>2012</w:t>
            </w:r>
            <w:r w:rsidRPr="00CA2179">
              <w:rPr>
                <w:rFonts w:ascii="宋体" w:hAnsi="宋体" w:cs="宋体" w:hint="eastAsia"/>
                <w:color w:val="000000"/>
                <w:kern w:val="0"/>
                <w:szCs w:val="21"/>
              </w:rPr>
              <w:t>级</w:t>
            </w:r>
          </w:p>
        </w:tc>
        <w:tc>
          <w:tcPr>
            <w:tcW w:w="851" w:type="dxa"/>
            <w:vMerge/>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r>
      <w:tr w:rsidR="009A01B4" w:rsidRPr="00CA2179" w:rsidTr="00E8058B">
        <w:trPr>
          <w:trHeight w:val="405"/>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政治与公共管理学院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19.90%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8.23%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11.63%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2.11%</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11.94%</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2.16%</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4.47%</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0.59%</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2.54%</w:t>
            </w:r>
          </w:p>
        </w:tc>
      </w:tr>
      <w:tr w:rsidR="009A01B4" w:rsidRPr="00CA2179" w:rsidTr="00E8058B">
        <w:trPr>
          <w:trHeight w:val="405"/>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24.55%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26.70%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10.71%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100.00%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22.08%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4.76%</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5.25%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66.67</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4.89%</w:t>
            </w:r>
          </w:p>
        </w:tc>
      </w:tr>
      <w:tr w:rsidR="009A01B4" w:rsidRPr="00CA2179" w:rsidTr="00E8058B">
        <w:trPr>
          <w:trHeight w:val="405"/>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经济管理学院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15.58%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37.65%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25.29%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7.51%</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20.09%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2.00%</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9.70%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4.15%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1.87%</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3.93%</w:t>
            </w:r>
          </w:p>
        </w:tc>
      </w:tr>
      <w:tr w:rsidR="009A01B4" w:rsidRPr="00CA2179" w:rsidTr="00E8058B">
        <w:trPr>
          <w:trHeight w:val="405"/>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31.63%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37.19%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40.48%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34.81%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5.94%</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8.75%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29.73%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7.79%</w:t>
            </w:r>
          </w:p>
        </w:tc>
      </w:tr>
      <w:tr w:rsidR="009A01B4" w:rsidRPr="00CA2179" w:rsidTr="00E8058B">
        <w:trPr>
          <w:trHeight w:val="405"/>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信息工程学院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28.72%</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29.27%</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30.49%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5.63%</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25.69%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4.27%</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6.98%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6.14%</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1.41%</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4.98%</w:t>
            </w:r>
          </w:p>
        </w:tc>
      </w:tr>
      <w:tr w:rsidR="009A01B4" w:rsidRPr="00CA2179" w:rsidTr="00E8058B">
        <w:trPr>
          <w:trHeight w:val="405"/>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50.57%</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50.55%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15.33%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50.00%</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15.52%</w:t>
            </w:r>
          </w:p>
        </w:tc>
      </w:tr>
      <w:tr w:rsidR="009A01B4" w:rsidRPr="00CA2179" w:rsidTr="00E8058B">
        <w:trPr>
          <w:trHeight w:val="405"/>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会计学院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13.68%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24.48%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17.84%</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2.31%</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14.49%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1.72%</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4.82%</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4.47%</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0.74%</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3.14%</w:t>
            </w:r>
          </w:p>
        </w:tc>
      </w:tr>
      <w:tr w:rsidR="009A01B4" w:rsidRPr="00CA2179" w:rsidTr="00E8058B">
        <w:trPr>
          <w:trHeight w:val="405"/>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18.69%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31.88%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25.83%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2.98%</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6.52%</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4.91%</w:t>
            </w:r>
          </w:p>
        </w:tc>
      </w:tr>
      <w:tr w:rsidR="009A01B4" w:rsidRPr="00CA2179" w:rsidTr="00E8058B">
        <w:trPr>
          <w:trHeight w:val="405"/>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文化传播学院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30.26%</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19.91%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19.76%</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19.89%</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22.52%</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4.09%</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4.19%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3.33%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7.01%</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4.06%</w:t>
            </w:r>
          </w:p>
        </w:tc>
      </w:tr>
      <w:tr w:rsidR="009A01B4" w:rsidRPr="00CA2179" w:rsidTr="00E8058B">
        <w:trPr>
          <w:trHeight w:val="405"/>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32.14%</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12.12%</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21.31%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6.19%</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3.81%</w:t>
            </w:r>
          </w:p>
        </w:tc>
      </w:tr>
      <w:tr w:rsidR="009A01B4" w:rsidRPr="00CA2179" w:rsidTr="00E8058B">
        <w:trPr>
          <w:trHeight w:val="405"/>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外国语学院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19.21%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25.32%</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34.04%</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4.05%</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21.11%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2.48%</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5.76%</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14.18%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1.12%</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6.20%</w:t>
            </w:r>
          </w:p>
        </w:tc>
      </w:tr>
      <w:tr w:rsidR="009A01B4" w:rsidRPr="00CA2179" w:rsidTr="00E8058B">
        <w:trPr>
          <w:trHeight w:val="405"/>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23.15%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18.33%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20.65%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2.98%</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4.59%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7.45%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4.91%</w:t>
            </w:r>
          </w:p>
        </w:tc>
      </w:tr>
      <w:tr w:rsidR="009A01B4" w:rsidRPr="00CA2179" w:rsidTr="00E8058B">
        <w:trPr>
          <w:trHeight w:val="405"/>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旅游学院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17.14%</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8.33%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9.68%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2.18%</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4.19%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2.81%</w:t>
            </w:r>
          </w:p>
        </w:tc>
      </w:tr>
      <w:tr w:rsidR="009A01B4" w:rsidRPr="00CA2179" w:rsidTr="00E8058B">
        <w:trPr>
          <w:trHeight w:val="405"/>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26.56%</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41.57%</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35.29%</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2.87%</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7.61%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5.55%</w:t>
            </w:r>
          </w:p>
        </w:tc>
      </w:tr>
      <w:tr w:rsidR="009A01B4" w:rsidRPr="00CA2179" w:rsidTr="00E8058B">
        <w:trPr>
          <w:trHeight w:val="405"/>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舞蹈学院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72.94%</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38.95%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2.91%</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21.37%</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8.66%</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5.38%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0.30%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0.78%</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4.15%</w:t>
            </w:r>
          </w:p>
        </w:tc>
      </w:tr>
      <w:tr w:rsidR="009A01B4" w:rsidRPr="00CA2179" w:rsidTr="00E8058B">
        <w:trPr>
          <w:trHeight w:val="405"/>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40.22%</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15.85%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28.74%</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4.74%</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1.83%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3.44%</w:t>
            </w:r>
          </w:p>
        </w:tc>
      </w:tr>
      <w:tr w:rsidR="009A01B4" w:rsidRPr="00CA2179" w:rsidTr="00E8058B">
        <w:trPr>
          <w:trHeight w:val="405"/>
          <w:jc w:val="center"/>
        </w:trPr>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设计艺术学院</w:t>
            </w: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43.72%</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13.30%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5.36%</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1.72%</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19.90%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5.59%</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2.75%</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0.53%</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3.58%</w:t>
            </w:r>
          </w:p>
        </w:tc>
      </w:tr>
      <w:tr w:rsidR="009A01B4" w:rsidRPr="00CA2179" w:rsidTr="00E8058B">
        <w:trPr>
          <w:trHeight w:val="405"/>
          <w:jc w:val="center"/>
        </w:trPr>
        <w:tc>
          <w:tcPr>
            <w:tcW w:w="851" w:type="dxa"/>
            <w:vMerge/>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left"/>
              <w:rPr>
                <w:rFonts w:ascii="宋体" w:hAnsi="Times New Roman" w:cs="宋体"/>
                <w:color w:val="000000"/>
                <w:kern w:val="0"/>
                <w:szCs w:val="21"/>
              </w:rPr>
            </w:pPr>
          </w:p>
        </w:tc>
        <w:tc>
          <w:tcPr>
            <w:tcW w:w="709"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993"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42.08%</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31.71%</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25.00%</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36.76%</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6.10%</w:t>
            </w:r>
          </w:p>
        </w:tc>
        <w:tc>
          <w:tcPr>
            <w:tcW w:w="993"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7.23%</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12.07%</w:t>
            </w:r>
          </w:p>
        </w:tc>
        <w:tc>
          <w:tcPr>
            <w:tcW w:w="992"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0.00%</w:t>
            </w:r>
          </w:p>
        </w:tc>
        <w:tc>
          <w:tcPr>
            <w:tcW w:w="851"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6.73%</w:t>
            </w:r>
          </w:p>
        </w:tc>
      </w:tr>
      <w:tr w:rsidR="009A01B4" w:rsidRPr="00CA2179" w:rsidTr="00E8058B">
        <w:trPr>
          <w:trHeight w:val="405"/>
          <w:jc w:val="center"/>
        </w:trPr>
        <w:tc>
          <w:tcPr>
            <w:tcW w:w="156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全校</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26.04%</w:t>
            </w:r>
          </w:p>
        </w:tc>
        <w:tc>
          <w:tcPr>
            <w:tcW w:w="992"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28.67%</w:t>
            </w:r>
          </w:p>
        </w:tc>
        <w:tc>
          <w:tcPr>
            <w:tcW w:w="992"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17.17%</w:t>
            </w:r>
          </w:p>
        </w:tc>
        <w:tc>
          <w:tcPr>
            <w:tcW w:w="992"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7.25%</w:t>
            </w:r>
          </w:p>
        </w:tc>
        <w:tc>
          <w:tcPr>
            <w:tcW w:w="850"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23.18%</w:t>
            </w:r>
          </w:p>
        </w:tc>
        <w:tc>
          <w:tcPr>
            <w:tcW w:w="992"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3.83%</w:t>
            </w:r>
          </w:p>
        </w:tc>
        <w:tc>
          <w:tcPr>
            <w:tcW w:w="993"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6.27%</w:t>
            </w:r>
          </w:p>
        </w:tc>
        <w:tc>
          <w:tcPr>
            <w:tcW w:w="992"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4.69%</w:t>
            </w:r>
          </w:p>
        </w:tc>
        <w:tc>
          <w:tcPr>
            <w:tcW w:w="992"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2.07%</w:t>
            </w:r>
          </w:p>
        </w:tc>
        <w:tc>
          <w:tcPr>
            <w:tcW w:w="851"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4.77%</w:t>
            </w:r>
          </w:p>
        </w:tc>
      </w:tr>
    </w:tbl>
    <w:p w:rsidR="009A01B4" w:rsidRPr="00CA2179" w:rsidRDefault="009A01B4" w:rsidP="00CA2179">
      <w:pPr>
        <w:autoSpaceDE w:val="0"/>
        <w:autoSpaceDN w:val="0"/>
        <w:adjustRightInd w:val="0"/>
        <w:spacing w:line="360" w:lineRule="auto"/>
        <w:rPr>
          <w:rFonts w:cs="Calibri"/>
          <w:kern w:val="0"/>
          <w:sz w:val="24"/>
          <w:szCs w:val="24"/>
        </w:rPr>
      </w:pPr>
    </w:p>
    <w:p w:rsidR="009A01B4" w:rsidRPr="00CA2179" w:rsidRDefault="009A01B4" w:rsidP="00CA2179">
      <w:pPr>
        <w:autoSpaceDE w:val="0"/>
        <w:autoSpaceDN w:val="0"/>
        <w:adjustRightInd w:val="0"/>
        <w:spacing w:line="360" w:lineRule="auto"/>
        <w:rPr>
          <w:rFonts w:cs="Calibri"/>
          <w:kern w:val="0"/>
          <w:sz w:val="24"/>
          <w:szCs w:val="24"/>
        </w:rPr>
      </w:pPr>
    </w:p>
    <w:p w:rsidR="009A01B4" w:rsidRDefault="009A01B4" w:rsidP="00CA2179">
      <w:pPr>
        <w:autoSpaceDE w:val="0"/>
        <w:autoSpaceDN w:val="0"/>
        <w:adjustRightInd w:val="0"/>
        <w:spacing w:line="360" w:lineRule="auto"/>
        <w:rPr>
          <w:rFonts w:cs="Calibri"/>
          <w:kern w:val="0"/>
          <w:sz w:val="24"/>
          <w:szCs w:val="24"/>
        </w:rPr>
      </w:pPr>
    </w:p>
    <w:p w:rsidR="009A01B4" w:rsidRPr="00CA2179" w:rsidRDefault="009A01B4" w:rsidP="00CA2179">
      <w:pPr>
        <w:autoSpaceDE w:val="0"/>
        <w:autoSpaceDN w:val="0"/>
        <w:adjustRightInd w:val="0"/>
        <w:spacing w:line="360" w:lineRule="auto"/>
        <w:rPr>
          <w:rFonts w:cs="Calibri"/>
          <w:kern w:val="0"/>
          <w:sz w:val="24"/>
          <w:szCs w:val="24"/>
        </w:rPr>
      </w:pPr>
    </w:p>
    <w:p w:rsidR="009A01B4" w:rsidRPr="00CA2179" w:rsidRDefault="00577C92" w:rsidP="00CA2179">
      <w:pPr>
        <w:autoSpaceDE w:val="0"/>
        <w:autoSpaceDN w:val="0"/>
        <w:adjustRightInd w:val="0"/>
        <w:spacing w:line="360" w:lineRule="auto"/>
        <w:rPr>
          <w:rFonts w:ascii="Times New Roman" w:hAnsi="Times New Roman"/>
          <w:noProof/>
          <w:szCs w:val="24"/>
        </w:rPr>
      </w:pPr>
      <w:r>
        <w:rPr>
          <w:rFonts w:ascii="Times New Roman" w:hAnsi="Times New Roman"/>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i1025" type="#_x0000_t75" style="width:412.5pt;height:222.75pt;visibility:visible">
            <v:imagedata r:id="rId10" o:title=""/>
          </v:shape>
        </w:pict>
      </w:r>
    </w:p>
    <w:p w:rsidR="009A01B4" w:rsidRPr="00CA2179" w:rsidRDefault="009A01B4" w:rsidP="00CA2179">
      <w:pPr>
        <w:widowControl/>
        <w:jc w:val="center"/>
        <w:rPr>
          <w:rFonts w:ascii="宋体" w:hAnsi="Times New Roman" w:cs="宋体"/>
          <w:color w:val="000000"/>
          <w:kern w:val="0"/>
          <w:sz w:val="24"/>
          <w:szCs w:val="24"/>
        </w:rPr>
      </w:pPr>
      <w:r w:rsidRPr="00CA2179">
        <w:rPr>
          <w:rFonts w:ascii="宋体" w:hAnsi="宋体" w:cs="宋体" w:hint="eastAsia"/>
          <w:color w:val="000000"/>
          <w:kern w:val="0"/>
          <w:sz w:val="24"/>
          <w:szCs w:val="24"/>
        </w:rPr>
        <w:t>图</w:t>
      </w:r>
      <w:r w:rsidRPr="00CA2179">
        <w:rPr>
          <w:rFonts w:ascii="宋体" w:hAnsi="宋体" w:cs="宋体"/>
          <w:color w:val="000000"/>
          <w:kern w:val="0"/>
          <w:sz w:val="24"/>
          <w:szCs w:val="24"/>
        </w:rPr>
        <w:t xml:space="preserve">1 </w:t>
      </w:r>
      <w:r w:rsidRPr="00CA2179">
        <w:rPr>
          <w:rFonts w:ascii="宋体" w:hAnsi="宋体" w:cs="宋体" w:hint="eastAsia"/>
          <w:color w:val="000000"/>
          <w:kern w:val="0"/>
          <w:sz w:val="24"/>
          <w:szCs w:val="24"/>
        </w:rPr>
        <w:t>不及格学生占比和不及格成绩占比图</w:t>
      </w:r>
    </w:p>
    <w:p w:rsidR="009A01B4" w:rsidRPr="00CA2179" w:rsidRDefault="009A01B4" w:rsidP="00CA2179">
      <w:pPr>
        <w:rPr>
          <w:rFonts w:ascii="Times New Roman" w:hAnsi="Times New Roman"/>
          <w:szCs w:val="24"/>
        </w:rPr>
      </w:pPr>
    </w:p>
    <w:tbl>
      <w:tblPr>
        <w:tblW w:w="7260" w:type="dxa"/>
        <w:tblInd w:w="530" w:type="dxa"/>
        <w:tblLayout w:type="fixed"/>
        <w:tblLook w:val="00A0" w:firstRow="1" w:lastRow="0" w:firstColumn="1" w:lastColumn="0" w:noHBand="0" w:noVBand="0"/>
      </w:tblPr>
      <w:tblGrid>
        <w:gridCol w:w="2380"/>
        <w:gridCol w:w="1260"/>
        <w:gridCol w:w="1280"/>
        <w:gridCol w:w="1260"/>
        <w:gridCol w:w="1080"/>
      </w:tblGrid>
      <w:tr w:rsidR="009A01B4" w:rsidRPr="00CA2179" w:rsidTr="00CA2179">
        <w:trPr>
          <w:trHeight w:val="555"/>
        </w:trPr>
        <w:tc>
          <w:tcPr>
            <w:tcW w:w="7260" w:type="dxa"/>
            <w:gridSpan w:val="5"/>
            <w:tcBorders>
              <w:top w:val="nil"/>
              <w:left w:val="nil"/>
              <w:bottom w:val="nil"/>
              <w:right w:val="nil"/>
            </w:tcBorders>
            <w:vAlign w:val="center"/>
          </w:tcPr>
          <w:p w:rsidR="009A01B4" w:rsidRPr="00CA2179" w:rsidRDefault="009A01B4" w:rsidP="00BA3752">
            <w:pPr>
              <w:widowControl/>
              <w:jc w:val="center"/>
              <w:rPr>
                <w:rFonts w:ascii="宋体" w:hAnsi="Times New Roman" w:cs="宋体"/>
                <w:color w:val="000000"/>
                <w:kern w:val="0"/>
                <w:sz w:val="24"/>
                <w:szCs w:val="24"/>
              </w:rPr>
            </w:pPr>
            <w:r w:rsidRPr="00CA2179">
              <w:rPr>
                <w:rFonts w:ascii="宋体" w:hAnsi="宋体" w:cs="宋体" w:hint="eastAsia"/>
                <w:color w:val="000000"/>
                <w:kern w:val="0"/>
                <w:sz w:val="24"/>
                <w:szCs w:val="24"/>
              </w:rPr>
              <w:t>表</w:t>
            </w:r>
            <w:r w:rsidRPr="00CA2179">
              <w:rPr>
                <w:rFonts w:ascii="宋体" w:hAnsi="宋体" w:cs="宋体"/>
                <w:color w:val="000000"/>
                <w:kern w:val="0"/>
                <w:sz w:val="24"/>
                <w:szCs w:val="24"/>
              </w:rPr>
              <w:t xml:space="preserve">5  </w:t>
            </w:r>
            <w:r w:rsidRPr="00CA2179">
              <w:rPr>
                <w:rFonts w:ascii="宋体" w:hAnsi="宋体" w:cs="宋体" w:hint="eastAsia"/>
                <w:color w:val="000000"/>
                <w:kern w:val="0"/>
                <w:sz w:val="24"/>
                <w:szCs w:val="24"/>
              </w:rPr>
              <w:t>全校和各学院不及格学生</w:t>
            </w:r>
            <w:proofErr w:type="gramStart"/>
            <w:r w:rsidRPr="00CA2179">
              <w:rPr>
                <w:rFonts w:ascii="宋体" w:hAnsi="宋体" w:cs="宋体" w:hint="eastAsia"/>
                <w:color w:val="000000"/>
                <w:kern w:val="0"/>
                <w:sz w:val="24"/>
                <w:szCs w:val="24"/>
              </w:rPr>
              <w:t>占比表</w:t>
            </w:r>
            <w:proofErr w:type="gramEnd"/>
          </w:p>
        </w:tc>
      </w:tr>
      <w:tr w:rsidR="009A01B4" w:rsidRPr="00CA2179" w:rsidTr="00EE0B8E">
        <w:trPr>
          <w:trHeight w:val="708"/>
        </w:trPr>
        <w:tc>
          <w:tcPr>
            <w:tcW w:w="2380" w:type="dxa"/>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 xml:space="preserve">             </w:t>
            </w:r>
            <w:r w:rsidRPr="00CA2179">
              <w:rPr>
                <w:rFonts w:ascii="宋体" w:hAnsi="宋体" w:cs="宋体" w:hint="eastAsia"/>
                <w:color w:val="000000"/>
                <w:kern w:val="0"/>
                <w:szCs w:val="21"/>
              </w:rPr>
              <w:t>层次</w:t>
            </w:r>
            <w:r w:rsidRPr="00CA2179">
              <w:rPr>
                <w:rFonts w:ascii="宋体" w:hAnsi="宋体" w:cs="宋体"/>
                <w:color w:val="000000"/>
                <w:kern w:val="0"/>
                <w:szCs w:val="21"/>
              </w:rPr>
              <w:t xml:space="preserve">                                         </w:t>
            </w:r>
          </w:p>
          <w:p w:rsidR="009A01B4" w:rsidRPr="00CA2179" w:rsidRDefault="009A01B4" w:rsidP="00CA2179">
            <w:pPr>
              <w:rPr>
                <w:rFonts w:ascii="宋体" w:hAnsi="Times New Roman" w:cs="宋体"/>
                <w:color w:val="000000"/>
                <w:kern w:val="0"/>
                <w:szCs w:val="21"/>
              </w:rPr>
            </w:pPr>
            <w:r w:rsidRPr="00CA2179">
              <w:rPr>
                <w:rFonts w:ascii="宋体" w:hAnsi="宋体" w:cs="宋体" w:hint="eastAsia"/>
                <w:color w:val="000000"/>
                <w:kern w:val="0"/>
                <w:szCs w:val="21"/>
              </w:rPr>
              <w:t>学院</w:t>
            </w:r>
          </w:p>
        </w:tc>
        <w:tc>
          <w:tcPr>
            <w:tcW w:w="1260" w:type="dxa"/>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本科</w:t>
            </w:r>
          </w:p>
        </w:tc>
        <w:tc>
          <w:tcPr>
            <w:tcW w:w="1280" w:type="dxa"/>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专科</w:t>
            </w:r>
          </w:p>
        </w:tc>
        <w:tc>
          <w:tcPr>
            <w:tcW w:w="1260" w:type="dxa"/>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本专科</w:t>
            </w:r>
          </w:p>
        </w:tc>
        <w:tc>
          <w:tcPr>
            <w:tcW w:w="1080" w:type="dxa"/>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备注</w:t>
            </w:r>
          </w:p>
        </w:tc>
      </w:tr>
      <w:tr w:rsidR="009A01B4" w:rsidRPr="00CA2179" w:rsidTr="00CA2179">
        <w:trPr>
          <w:trHeight w:val="555"/>
        </w:trPr>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政治与公共管理学院</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11.94%</w:t>
            </w:r>
          </w:p>
        </w:tc>
        <w:tc>
          <w:tcPr>
            <w:tcW w:w="12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22.08%</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16.92%</w:t>
            </w:r>
          </w:p>
        </w:tc>
        <w:tc>
          <w:tcPr>
            <w:tcW w:w="10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CA2179">
        <w:trPr>
          <w:trHeight w:val="555"/>
        </w:trPr>
        <w:tc>
          <w:tcPr>
            <w:tcW w:w="2380" w:type="dxa"/>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经济管理学院</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20.09%</w:t>
            </w:r>
          </w:p>
        </w:tc>
        <w:tc>
          <w:tcPr>
            <w:tcW w:w="12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34.81%</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26.04%</w:t>
            </w:r>
          </w:p>
        </w:tc>
        <w:tc>
          <w:tcPr>
            <w:tcW w:w="10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CA2179">
        <w:trPr>
          <w:trHeight w:val="555"/>
        </w:trPr>
        <w:tc>
          <w:tcPr>
            <w:tcW w:w="2380" w:type="dxa"/>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信息工程学院</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25.69%</w:t>
            </w:r>
          </w:p>
        </w:tc>
        <w:tc>
          <w:tcPr>
            <w:tcW w:w="12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50.55%</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29.72%</w:t>
            </w:r>
          </w:p>
        </w:tc>
        <w:tc>
          <w:tcPr>
            <w:tcW w:w="10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CA2179">
        <w:trPr>
          <w:trHeight w:val="555"/>
        </w:trPr>
        <w:tc>
          <w:tcPr>
            <w:tcW w:w="2380" w:type="dxa"/>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会计学院</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14.49%</w:t>
            </w:r>
          </w:p>
        </w:tc>
        <w:tc>
          <w:tcPr>
            <w:tcW w:w="12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25.83%</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21.86%</w:t>
            </w:r>
          </w:p>
        </w:tc>
        <w:tc>
          <w:tcPr>
            <w:tcW w:w="10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CA2179">
        <w:trPr>
          <w:trHeight w:val="555"/>
        </w:trPr>
        <w:tc>
          <w:tcPr>
            <w:tcW w:w="2380" w:type="dxa"/>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文化传播学院</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22.52%</w:t>
            </w:r>
          </w:p>
        </w:tc>
        <w:tc>
          <w:tcPr>
            <w:tcW w:w="12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21.31%</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22.44%</w:t>
            </w:r>
          </w:p>
        </w:tc>
        <w:tc>
          <w:tcPr>
            <w:tcW w:w="10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CA2179">
        <w:trPr>
          <w:trHeight w:val="555"/>
        </w:trPr>
        <w:tc>
          <w:tcPr>
            <w:tcW w:w="2380" w:type="dxa"/>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外国语学院</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21.11%</w:t>
            </w:r>
          </w:p>
        </w:tc>
        <w:tc>
          <w:tcPr>
            <w:tcW w:w="12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20.65%</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20.85%</w:t>
            </w:r>
          </w:p>
        </w:tc>
        <w:tc>
          <w:tcPr>
            <w:tcW w:w="10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CA2179">
        <w:trPr>
          <w:trHeight w:val="555"/>
        </w:trPr>
        <w:tc>
          <w:tcPr>
            <w:tcW w:w="2380" w:type="dxa"/>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旅游学院</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9.68%</w:t>
            </w:r>
          </w:p>
        </w:tc>
        <w:tc>
          <w:tcPr>
            <w:tcW w:w="12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35.29%</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21.24%</w:t>
            </w:r>
          </w:p>
        </w:tc>
        <w:tc>
          <w:tcPr>
            <w:tcW w:w="10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CA2179">
        <w:trPr>
          <w:trHeight w:val="555"/>
        </w:trPr>
        <w:tc>
          <w:tcPr>
            <w:tcW w:w="2380" w:type="dxa"/>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舞蹈学院</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21.37%</w:t>
            </w:r>
          </w:p>
        </w:tc>
        <w:tc>
          <w:tcPr>
            <w:tcW w:w="12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28.74%</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23.28%</w:t>
            </w:r>
          </w:p>
        </w:tc>
        <w:tc>
          <w:tcPr>
            <w:tcW w:w="10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CA2179">
        <w:trPr>
          <w:trHeight w:val="555"/>
        </w:trPr>
        <w:tc>
          <w:tcPr>
            <w:tcW w:w="2380" w:type="dxa"/>
            <w:tcBorders>
              <w:top w:val="nil"/>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设计艺术学院</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19.90%</w:t>
            </w:r>
          </w:p>
        </w:tc>
        <w:tc>
          <w:tcPr>
            <w:tcW w:w="12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36.76%</w:t>
            </w:r>
          </w:p>
        </w:tc>
        <w:tc>
          <w:tcPr>
            <w:tcW w:w="12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26.93%</w:t>
            </w:r>
          </w:p>
        </w:tc>
        <w:tc>
          <w:tcPr>
            <w:tcW w:w="108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CA2179">
        <w:trPr>
          <w:trHeight w:val="555"/>
        </w:trPr>
        <w:tc>
          <w:tcPr>
            <w:tcW w:w="2380"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全校</w:t>
            </w:r>
          </w:p>
        </w:tc>
        <w:tc>
          <w:tcPr>
            <w:tcW w:w="1260"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19.06%</w:t>
            </w:r>
          </w:p>
        </w:tc>
        <w:tc>
          <w:tcPr>
            <w:tcW w:w="1280"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28.45%</w:t>
            </w:r>
          </w:p>
        </w:tc>
        <w:tc>
          <w:tcPr>
            <w:tcW w:w="1260"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宋体"/>
                <w:color w:val="000000"/>
                <w:kern w:val="0"/>
                <w:szCs w:val="21"/>
              </w:rPr>
            </w:pPr>
            <w:r w:rsidRPr="00CA2179">
              <w:rPr>
                <w:rFonts w:ascii="宋体" w:hAnsi="宋体" w:cs="宋体"/>
                <w:color w:val="000000"/>
                <w:kern w:val="0"/>
                <w:szCs w:val="21"/>
              </w:rPr>
              <w:t>23.18%</w:t>
            </w:r>
          </w:p>
        </w:tc>
        <w:tc>
          <w:tcPr>
            <w:tcW w:w="1080"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bl>
    <w:p w:rsidR="009A01B4" w:rsidRPr="00CA2179" w:rsidRDefault="009A01B4" w:rsidP="00CA2179">
      <w:pPr>
        <w:rPr>
          <w:rFonts w:ascii="Times New Roman" w:hAnsi="Times New Roman"/>
          <w:szCs w:val="24"/>
        </w:rPr>
      </w:pPr>
    </w:p>
    <w:p w:rsidR="009A01B4" w:rsidRPr="00CA2179" w:rsidRDefault="00577C92" w:rsidP="00CA2179">
      <w:pPr>
        <w:rPr>
          <w:rFonts w:ascii="Times New Roman" w:hAnsi="Times New Roman"/>
          <w:szCs w:val="24"/>
        </w:rPr>
      </w:pPr>
      <w:r>
        <w:rPr>
          <w:rFonts w:ascii="Times New Roman" w:hAnsi="Times New Roman"/>
          <w:noProof/>
          <w:szCs w:val="24"/>
        </w:rPr>
        <w:lastRenderedPageBreak/>
        <w:pict>
          <v:shape id="图片 1" o:spid="_x0000_i1026" type="#_x0000_t75" style="width:417.75pt;height:195.75pt;visibility:visible">
            <v:imagedata r:id="rId11" o:title=""/>
          </v:shape>
        </w:pict>
      </w:r>
    </w:p>
    <w:p w:rsidR="009A01B4" w:rsidRPr="00034F24" w:rsidRDefault="009A01B4" w:rsidP="00BA3752">
      <w:pPr>
        <w:widowControl/>
        <w:jc w:val="center"/>
        <w:rPr>
          <w:rFonts w:ascii="黑体" w:eastAsia="黑体" w:hAnsi="黑体" w:cs="宋体"/>
          <w:b/>
          <w:kern w:val="0"/>
          <w:sz w:val="28"/>
          <w:szCs w:val="28"/>
          <w:lang w:val="zh-CN"/>
        </w:rPr>
      </w:pPr>
      <w:r w:rsidRPr="00CA2179">
        <w:rPr>
          <w:rFonts w:ascii="宋体" w:hAnsi="宋体" w:cs="宋体" w:hint="eastAsia"/>
          <w:color w:val="000000"/>
          <w:kern w:val="0"/>
          <w:sz w:val="24"/>
          <w:szCs w:val="24"/>
        </w:rPr>
        <w:t>图</w:t>
      </w:r>
      <w:r w:rsidRPr="00CA2179">
        <w:rPr>
          <w:rFonts w:ascii="宋体" w:hAnsi="宋体" w:cs="宋体"/>
          <w:color w:val="000000"/>
          <w:kern w:val="0"/>
          <w:sz w:val="24"/>
          <w:szCs w:val="24"/>
        </w:rPr>
        <w:t xml:space="preserve">2 </w:t>
      </w:r>
      <w:r w:rsidRPr="00CA2179">
        <w:rPr>
          <w:rFonts w:ascii="宋体" w:hAnsi="宋体" w:cs="宋体" w:hint="eastAsia"/>
          <w:color w:val="000000"/>
          <w:kern w:val="0"/>
          <w:sz w:val="24"/>
          <w:szCs w:val="24"/>
        </w:rPr>
        <w:t>全校和各学院不及格学生占比图</w:t>
      </w:r>
    </w:p>
    <w:p w:rsidR="009A01B4" w:rsidRPr="00CA2179" w:rsidRDefault="009A01B4" w:rsidP="00F37088">
      <w:pPr>
        <w:autoSpaceDE w:val="0"/>
        <w:autoSpaceDN w:val="0"/>
        <w:adjustRightInd w:val="0"/>
        <w:spacing w:line="520" w:lineRule="atLeast"/>
        <w:ind w:firstLineChars="200" w:firstLine="562"/>
        <w:rPr>
          <w:rFonts w:ascii="黑体" w:eastAsia="黑体" w:hAnsi="黑体" w:cs="宋体"/>
          <w:b/>
          <w:kern w:val="0"/>
          <w:sz w:val="28"/>
          <w:szCs w:val="28"/>
          <w:lang w:val="zh-CN"/>
        </w:rPr>
      </w:pPr>
      <w:r w:rsidRPr="00CA2179">
        <w:rPr>
          <w:rFonts w:ascii="黑体" w:eastAsia="黑体" w:hAnsi="黑体" w:cs="宋体" w:hint="eastAsia"/>
          <w:b/>
          <w:kern w:val="0"/>
          <w:sz w:val="28"/>
          <w:szCs w:val="28"/>
          <w:lang w:val="zh-CN"/>
        </w:rPr>
        <w:t>四、各学院之间学生的学习状况比较</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为便于比较各学院的学生学习状况，我们选择以专科的《大学英语</w:t>
      </w:r>
      <w:r w:rsidRPr="00CA2179">
        <w:rPr>
          <w:rFonts w:ascii="仿宋" w:eastAsia="仿宋" w:hAnsi="仿宋" w:cs="Calibri"/>
          <w:kern w:val="0"/>
          <w:sz w:val="28"/>
          <w:szCs w:val="28"/>
        </w:rPr>
        <w:t>3</w:t>
      </w:r>
      <w:r w:rsidRPr="00CA2179">
        <w:rPr>
          <w:rFonts w:ascii="仿宋" w:eastAsia="仿宋" w:hAnsi="仿宋" w:cs="Calibri" w:hint="eastAsia"/>
          <w:kern w:val="0"/>
          <w:sz w:val="28"/>
          <w:szCs w:val="28"/>
        </w:rPr>
        <w:t>》和本科的《大学英语Ⅲ》课程为例。因为大学英语是公共课程，所有的学生都要学习，并且由外国语学院统一开课、统一命题和统一批阅，能维持统一的评价标准。通过大学英语的成绩，能够看出不同学院之间学生的学习状况，可以进行有效对比。舞蹈学院、设计艺术学院和文化传播学院的播音与主持艺术专业使用的是面向艺术类专业的另外一套试题，在专业类内统一。另外，外国语学院小语种专业的《大学英语</w:t>
      </w:r>
      <w:r w:rsidRPr="00CA2179">
        <w:rPr>
          <w:rFonts w:ascii="仿宋" w:eastAsia="仿宋" w:hAnsi="仿宋" w:cs="Calibri"/>
          <w:kern w:val="0"/>
          <w:sz w:val="28"/>
          <w:szCs w:val="28"/>
        </w:rPr>
        <w:t>3</w:t>
      </w:r>
      <w:r w:rsidRPr="00CA2179">
        <w:rPr>
          <w:rFonts w:ascii="仿宋" w:eastAsia="仿宋" w:hAnsi="仿宋" w:cs="Calibri" w:hint="eastAsia"/>
          <w:kern w:val="0"/>
          <w:sz w:val="28"/>
          <w:szCs w:val="28"/>
        </w:rPr>
        <w:t>》成绩也列为分析的对象。</w:t>
      </w:r>
    </w:p>
    <w:tbl>
      <w:tblPr>
        <w:tblW w:w="8095" w:type="dxa"/>
        <w:jc w:val="center"/>
        <w:tblLayout w:type="fixed"/>
        <w:tblLook w:val="00A0" w:firstRow="1" w:lastRow="0" w:firstColumn="1" w:lastColumn="0" w:noHBand="0" w:noVBand="0"/>
      </w:tblPr>
      <w:tblGrid>
        <w:gridCol w:w="2283"/>
        <w:gridCol w:w="1560"/>
        <w:gridCol w:w="1417"/>
        <w:gridCol w:w="1418"/>
        <w:gridCol w:w="1417"/>
      </w:tblGrid>
      <w:tr w:rsidR="009A01B4" w:rsidRPr="00CA2179" w:rsidTr="00EE0B8E">
        <w:trPr>
          <w:trHeight w:val="580"/>
          <w:jc w:val="center"/>
        </w:trPr>
        <w:tc>
          <w:tcPr>
            <w:tcW w:w="8095" w:type="dxa"/>
            <w:gridSpan w:val="5"/>
            <w:tcBorders>
              <w:top w:val="nil"/>
              <w:left w:val="nil"/>
              <w:bottom w:val="nil"/>
              <w:right w:val="nil"/>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 w:val="24"/>
                <w:szCs w:val="24"/>
              </w:rPr>
              <w:t>表</w:t>
            </w:r>
            <w:r w:rsidRPr="00CA2179">
              <w:rPr>
                <w:rFonts w:ascii="宋体" w:hAnsi="宋体" w:cs="宋体"/>
                <w:color w:val="000000"/>
                <w:kern w:val="0"/>
                <w:sz w:val="24"/>
                <w:szCs w:val="24"/>
              </w:rPr>
              <w:t>6  2014</w:t>
            </w:r>
            <w:r w:rsidRPr="00CA2179">
              <w:rPr>
                <w:rFonts w:ascii="宋体" w:hAnsi="宋体" w:cs="宋体" w:hint="eastAsia"/>
                <w:color w:val="000000"/>
                <w:kern w:val="0"/>
                <w:sz w:val="24"/>
                <w:szCs w:val="24"/>
              </w:rPr>
              <w:t>级专科大学英语</w:t>
            </w:r>
            <w:r w:rsidRPr="00CA2179">
              <w:rPr>
                <w:rFonts w:ascii="宋体" w:hAnsi="宋体" w:cs="宋体"/>
                <w:color w:val="000000"/>
                <w:kern w:val="0"/>
                <w:sz w:val="24"/>
                <w:szCs w:val="24"/>
              </w:rPr>
              <w:t>3</w:t>
            </w:r>
            <w:r w:rsidRPr="00CA2179">
              <w:rPr>
                <w:rFonts w:ascii="宋体" w:hAnsi="宋体" w:cs="宋体" w:hint="eastAsia"/>
                <w:color w:val="000000"/>
                <w:kern w:val="0"/>
                <w:sz w:val="24"/>
                <w:szCs w:val="24"/>
              </w:rPr>
              <w:t>成绩分布状况</w:t>
            </w:r>
          </w:p>
        </w:tc>
      </w:tr>
      <w:tr w:rsidR="009A01B4" w:rsidRPr="00CA2179" w:rsidTr="00EE0B8E">
        <w:trPr>
          <w:trHeight w:val="917"/>
          <w:jc w:val="center"/>
        </w:trPr>
        <w:tc>
          <w:tcPr>
            <w:tcW w:w="2283" w:type="dxa"/>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rsidR="009A01B4" w:rsidRPr="00CA2179" w:rsidRDefault="009A01B4" w:rsidP="00CA2179">
            <w:pPr>
              <w:widowControl/>
              <w:jc w:val="center"/>
              <w:rPr>
                <w:rFonts w:ascii="宋体" w:hAnsi="Times New Roman" w:cs="Calibri"/>
                <w:color w:val="000000"/>
                <w:kern w:val="0"/>
                <w:szCs w:val="21"/>
              </w:rPr>
            </w:pPr>
            <w:r w:rsidRPr="00CA2179">
              <w:rPr>
                <w:rFonts w:ascii="宋体" w:hAnsi="宋体" w:cs="Calibri"/>
                <w:color w:val="000000"/>
                <w:kern w:val="0"/>
                <w:szCs w:val="21"/>
              </w:rPr>
              <w:t xml:space="preserve">           </w:t>
            </w:r>
            <w:r w:rsidRPr="00CA2179">
              <w:rPr>
                <w:rFonts w:ascii="宋体" w:hAnsi="宋体" w:cs="Calibri" w:hint="eastAsia"/>
                <w:color w:val="000000"/>
                <w:kern w:val="0"/>
                <w:szCs w:val="21"/>
              </w:rPr>
              <w:t>成绩</w:t>
            </w:r>
          </w:p>
          <w:p w:rsidR="009A01B4" w:rsidRPr="00CA2179" w:rsidRDefault="009A01B4" w:rsidP="00CA2179">
            <w:pPr>
              <w:jc w:val="center"/>
              <w:rPr>
                <w:rFonts w:ascii="宋体" w:hAnsi="Times New Roman" w:cs="宋体"/>
                <w:color w:val="000000"/>
                <w:kern w:val="0"/>
                <w:szCs w:val="21"/>
              </w:rPr>
            </w:pPr>
          </w:p>
          <w:p w:rsidR="009A01B4" w:rsidRPr="00CA2179" w:rsidRDefault="009A01B4" w:rsidP="00CA2179">
            <w:pPr>
              <w:rPr>
                <w:rFonts w:ascii="宋体" w:hAnsi="Times New Roman" w:cs="Calibri"/>
                <w:color w:val="000000"/>
                <w:kern w:val="0"/>
                <w:szCs w:val="21"/>
              </w:rPr>
            </w:pPr>
            <w:r w:rsidRPr="00CA2179">
              <w:rPr>
                <w:rFonts w:ascii="宋体" w:hAnsi="宋体" w:cs="宋体" w:hint="eastAsia"/>
                <w:color w:val="000000"/>
                <w:kern w:val="0"/>
                <w:szCs w:val="21"/>
              </w:rPr>
              <w:t>学院</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优秀率</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不及格率</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平均分</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备注</w:t>
            </w:r>
          </w:p>
        </w:tc>
      </w:tr>
      <w:tr w:rsidR="009A01B4" w:rsidRPr="00CA2179" w:rsidTr="00EE0B8E">
        <w:trPr>
          <w:trHeight w:val="580"/>
          <w:jc w:val="center"/>
        </w:trPr>
        <w:tc>
          <w:tcPr>
            <w:tcW w:w="2283" w:type="dxa"/>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政治与公共管理学院</w:t>
            </w:r>
          </w:p>
        </w:tc>
        <w:tc>
          <w:tcPr>
            <w:tcW w:w="15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0.00%</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7.33%</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70.05</w:t>
            </w:r>
          </w:p>
        </w:tc>
        <w:tc>
          <w:tcPr>
            <w:tcW w:w="1417"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80"/>
          <w:jc w:val="center"/>
        </w:trPr>
        <w:tc>
          <w:tcPr>
            <w:tcW w:w="2283"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经济管理学院</w:t>
            </w:r>
          </w:p>
        </w:tc>
        <w:tc>
          <w:tcPr>
            <w:tcW w:w="15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0.44%</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14.38%</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63.26</w:t>
            </w:r>
          </w:p>
        </w:tc>
        <w:tc>
          <w:tcPr>
            <w:tcW w:w="1417"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80"/>
          <w:jc w:val="center"/>
        </w:trPr>
        <w:tc>
          <w:tcPr>
            <w:tcW w:w="2283"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信息工程学院</w:t>
            </w:r>
          </w:p>
        </w:tc>
        <w:tc>
          <w:tcPr>
            <w:tcW w:w="15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0.00%</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6.90%</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66.60</w:t>
            </w:r>
          </w:p>
        </w:tc>
        <w:tc>
          <w:tcPr>
            <w:tcW w:w="1417"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80"/>
          <w:jc w:val="center"/>
        </w:trPr>
        <w:tc>
          <w:tcPr>
            <w:tcW w:w="2283"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会计学院</w:t>
            </w:r>
          </w:p>
        </w:tc>
        <w:tc>
          <w:tcPr>
            <w:tcW w:w="15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0.95%</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0.64%</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72.11</w:t>
            </w:r>
          </w:p>
        </w:tc>
        <w:tc>
          <w:tcPr>
            <w:tcW w:w="1417"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80"/>
          <w:jc w:val="center"/>
        </w:trPr>
        <w:tc>
          <w:tcPr>
            <w:tcW w:w="2283" w:type="dxa"/>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lastRenderedPageBreak/>
              <w:t>文化传播学院</w:t>
            </w:r>
          </w:p>
        </w:tc>
        <w:tc>
          <w:tcPr>
            <w:tcW w:w="1560"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0.00%</w:t>
            </w:r>
          </w:p>
        </w:tc>
        <w:tc>
          <w:tcPr>
            <w:tcW w:w="1417"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6.06%</w:t>
            </w:r>
          </w:p>
        </w:tc>
        <w:tc>
          <w:tcPr>
            <w:tcW w:w="1418"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66</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80"/>
          <w:jc w:val="center"/>
        </w:trPr>
        <w:tc>
          <w:tcPr>
            <w:tcW w:w="2283"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外国语学院</w:t>
            </w:r>
          </w:p>
        </w:tc>
        <w:tc>
          <w:tcPr>
            <w:tcW w:w="15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2.46%</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5.74%</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75.36</w:t>
            </w:r>
          </w:p>
        </w:tc>
        <w:tc>
          <w:tcPr>
            <w:tcW w:w="1417"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小语种专业</w:t>
            </w:r>
          </w:p>
        </w:tc>
      </w:tr>
      <w:tr w:rsidR="009A01B4" w:rsidRPr="00CA2179" w:rsidTr="00EE0B8E">
        <w:trPr>
          <w:trHeight w:val="580"/>
          <w:jc w:val="center"/>
        </w:trPr>
        <w:tc>
          <w:tcPr>
            <w:tcW w:w="2283" w:type="dxa"/>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旅游学院</w:t>
            </w:r>
          </w:p>
        </w:tc>
        <w:tc>
          <w:tcPr>
            <w:tcW w:w="1560"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0.00%</w:t>
            </w:r>
          </w:p>
        </w:tc>
        <w:tc>
          <w:tcPr>
            <w:tcW w:w="1417"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22.73%</w:t>
            </w:r>
          </w:p>
        </w:tc>
        <w:tc>
          <w:tcPr>
            <w:tcW w:w="1418"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63.94</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80"/>
          <w:jc w:val="center"/>
        </w:trPr>
        <w:tc>
          <w:tcPr>
            <w:tcW w:w="2283"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舞蹈学院</w:t>
            </w:r>
          </w:p>
        </w:tc>
        <w:tc>
          <w:tcPr>
            <w:tcW w:w="15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4.88%</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6.10%</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70.5</w:t>
            </w:r>
          </w:p>
        </w:tc>
        <w:tc>
          <w:tcPr>
            <w:tcW w:w="1417"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艺术类</w:t>
            </w:r>
          </w:p>
        </w:tc>
      </w:tr>
      <w:tr w:rsidR="009A01B4" w:rsidRPr="00CA2179" w:rsidTr="00EE0B8E">
        <w:trPr>
          <w:trHeight w:val="580"/>
          <w:jc w:val="center"/>
        </w:trPr>
        <w:tc>
          <w:tcPr>
            <w:tcW w:w="2283"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设计艺术学院</w:t>
            </w:r>
          </w:p>
        </w:tc>
        <w:tc>
          <w:tcPr>
            <w:tcW w:w="1560"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1.06%</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14.81%</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64.37</w:t>
            </w:r>
          </w:p>
        </w:tc>
        <w:tc>
          <w:tcPr>
            <w:tcW w:w="1417"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艺术类</w:t>
            </w:r>
          </w:p>
        </w:tc>
      </w:tr>
    </w:tbl>
    <w:p w:rsidR="009A01B4" w:rsidRPr="00CA2179" w:rsidRDefault="009A01B4" w:rsidP="00CA2179">
      <w:pPr>
        <w:autoSpaceDE w:val="0"/>
        <w:autoSpaceDN w:val="0"/>
        <w:adjustRightInd w:val="0"/>
        <w:spacing w:line="360" w:lineRule="auto"/>
        <w:jc w:val="center"/>
        <w:rPr>
          <w:rFonts w:cs="Calibri"/>
          <w:kern w:val="0"/>
          <w:sz w:val="24"/>
          <w:szCs w:val="24"/>
        </w:rPr>
      </w:pPr>
    </w:p>
    <w:p w:rsidR="009A01B4" w:rsidRPr="00CA2179" w:rsidRDefault="00577C92" w:rsidP="00B42A20">
      <w:pPr>
        <w:autoSpaceDE w:val="0"/>
        <w:autoSpaceDN w:val="0"/>
        <w:adjustRightInd w:val="0"/>
        <w:spacing w:line="360" w:lineRule="auto"/>
        <w:jc w:val="center"/>
        <w:rPr>
          <w:rFonts w:cs="Calibri"/>
          <w:kern w:val="0"/>
          <w:sz w:val="24"/>
          <w:szCs w:val="24"/>
        </w:rPr>
      </w:pPr>
      <w:r>
        <w:rPr>
          <w:rFonts w:cs="Calibri"/>
          <w:noProof/>
          <w:kern w:val="0"/>
          <w:sz w:val="24"/>
          <w:szCs w:val="24"/>
        </w:rPr>
        <w:pict>
          <v:shape id="图片 2" o:spid="_x0000_i1027" type="#_x0000_t75" style="width:417.75pt;height:179.25pt;visibility:visible">
            <v:imagedata r:id="rId12" o:title=""/>
          </v:shape>
        </w:pict>
      </w:r>
    </w:p>
    <w:p w:rsidR="009A01B4" w:rsidRPr="00CA2179" w:rsidRDefault="009A01B4" w:rsidP="00CA2179">
      <w:pPr>
        <w:widowControl/>
        <w:jc w:val="center"/>
        <w:rPr>
          <w:rFonts w:ascii="宋体" w:hAnsi="Times New Roman" w:cs="宋体"/>
          <w:color w:val="000000"/>
          <w:kern w:val="0"/>
          <w:sz w:val="24"/>
          <w:szCs w:val="24"/>
        </w:rPr>
      </w:pPr>
      <w:r w:rsidRPr="00CA2179">
        <w:rPr>
          <w:rFonts w:ascii="宋体" w:hAnsi="宋体" w:cs="宋体" w:hint="eastAsia"/>
          <w:color w:val="000000"/>
          <w:kern w:val="0"/>
          <w:sz w:val="24"/>
          <w:szCs w:val="24"/>
        </w:rPr>
        <w:t>图</w:t>
      </w:r>
      <w:r w:rsidRPr="00CA2179">
        <w:rPr>
          <w:rFonts w:ascii="宋体" w:hAnsi="宋体" w:cs="宋体"/>
          <w:color w:val="000000"/>
          <w:kern w:val="0"/>
          <w:sz w:val="24"/>
          <w:szCs w:val="24"/>
        </w:rPr>
        <w:t xml:space="preserve">3 </w:t>
      </w:r>
      <w:r w:rsidRPr="00CA2179">
        <w:rPr>
          <w:rFonts w:ascii="宋体" w:hAnsi="宋体" w:cs="宋体" w:hint="eastAsia"/>
          <w:color w:val="000000"/>
          <w:kern w:val="0"/>
          <w:sz w:val="24"/>
          <w:szCs w:val="24"/>
        </w:rPr>
        <w:t>各学院</w:t>
      </w:r>
      <w:r w:rsidRPr="00CA2179">
        <w:rPr>
          <w:rFonts w:ascii="宋体" w:hAnsi="宋体" w:cs="宋体"/>
          <w:color w:val="000000"/>
          <w:kern w:val="0"/>
          <w:sz w:val="24"/>
          <w:szCs w:val="24"/>
        </w:rPr>
        <w:t>2014</w:t>
      </w:r>
      <w:r w:rsidRPr="00CA2179">
        <w:rPr>
          <w:rFonts w:ascii="宋体" w:hAnsi="宋体" w:cs="宋体" w:hint="eastAsia"/>
          <w:color w:val="000000"/>
          <w:kern w:val="0"/>
          <w:sz w:val="24"/>
          <w:szCs w:val="24"/>
        </w:rPr>
        <w:t>级专科大学英语</w:t>
      </w:r>
      <w:r w:rsidRPr="00CA2179">
        <w:rPr>
          <w:rFonts w:ascii="宋体" w:hAnsi="宋体" w:cs="宋体"/>
          <w:color w:val="000000"/>
          <w:kern w:val="0"/>
          <w:sz w:val="24"/>
          <w:szCs w:val="24"/>
        </w:rPr>
        <w:t>3</w:t>
      </w:r>
      <w:r w:rsidRPr="00CA2179">
        <w:rPr>
          <w:rFonts w:ascii="宋体" w:hAnsi="宋体" w:cs="宋体" w:hint="eastAsia"/>
          <w:color w:val="000000"/>
          <w:kern w:val="0"/>
          <w:sz w:val="24"/>
          <w:szCs w:val="24"/>
        </w:rPr>
        <w:t>成绩对比图</w:t>
      </w:r>
    </w:p>
    <w:p w:rsidR="009A01B4" w:rsidRPr="00CA2179" w:rsidRDefault="009A01B4" w:rsidP="00CA2179">
      <w:pPr>
        <w:rPr>
          <w:rFonts w:ascii="Times New Roman" w:hAnsi="Times New Roman"/>
          <w:szCs w:val="24"/>
        </w:rPr>
      </w:pPr>
    </w:p>
    <w:p w:rsidR="009A01B4" w:rsidRPr="00CA2179" w:rsidRDefault="00577C92" w:rsidP="00B42A20">
      <w:pPr>
        <w:jc w:val="center"/>
        <w:rPr>
          <w:rFonts w:ascii="Times New Roman" w:hAnsi="Times New Roman"/>
          <w:szCs w:val="24"/>
        </w:rPr>
      </w:pPr>
      <w:r>
        <w:rPr>
          <w:rFonts w:ascii="Times New Roman" w:hAnsi="Times New Roman"/>
          <w:noProof/>
          <w:szCs w:val="24"/>
        </w:rPr>
        <w:pict>
          <v:shape id="图片 4" o:spid="_x0000_i1028" type="#_x0000_t75" style="width:417.75pt;height:160.5pt;visibility:visible">
            <v:imagedata r:id="rId13" o:title=""/>
          </v:shape>
        </w:pict>
      </w:r>
    </w:p>
    <w:p w:rsidR="009A01B4" w:rsidRDefault="009A01B4" w:rsidP="00CA2179">
      <w:pPr>
        <w:widowControl/>
        <w:jc w:val="center"/>
        <w:rPr>
          <w:rFonts w:ascii="宋体" w:cs="宋体"/>
          <w:color w:val="000000"/>
          <w:kern w:val="0"/>
          <w:sz w:val="24"/>
          <w:szCs w:val="24"/>
        </w:rPr>
      </w:pPr>
    </w:p>
    <w:p w:rsidR="009A01B4" w:rsidRPr="00CA2179" w:rsidRDefault="009A01B4" w:rsidP="00CA2179">
      <w:pPr>
        <w:widowControl/>
        <w:jc w:val="center"/>
        <w:rPr>
          <w:rFonts w:ascii="宋体" w:hAnsi="Times New Roman" w:cs="宋体"/>
          <w:color w:val="000000"/>
          <w:kern w:val="0"/>
          <w:sz w:val="24"/>
          <w:szCs w:val="24"/>
        </w:rPr>
      </w:pPr>
      <w:r w:rsidRPr="00CA2179">
        <w:rPr>
          <w:rFonts w:ascii="宋体" w:hAnsi="宋体" w:cs="宋体" w:hint="eastAsia"/>
          <w:color w:val="000000"/>
          <w:kern w:val="0"/>
          <w:sz w:val="24"/>
          <w:szCs w:val="24"/>
        </w:rPr>
        <w:t>图</w:t>
      </w:r>
      <w:r w:rsidRPr="00CA2179">
        <w:rPr>
          <w:rFonts w:ascii="宋体" w:hAnsi="宋体" w:cs="宋体"/>
          <w:color w:val="000000"/>
          <w:kern w:val="0"/>
          <w:sz w:val="24"/>
          <w:szCs w:val="24"/>
        </w:rPr>
        <w:t xml:space="preserve">4 </w:t>
      </w:r>
      <w:r w:rsidRPr="00CA2179">
        <w:rPr>
          <w:rFonts w:ascii="宋体" w:hAnsi="宋体" w:cs="宋体" w:hint="eastAsia"/>
          <w:color w:val="000000"/>
          <w:kern w:val="0"/>
          <w:sz w:val="24"/>
          <w:szCs w:val="24"/>
        </w:rPr>
        <w:t>各学院</w:t>
      </w:r>
      <w:r w:rsidRPr="00CA2179">
        <w:rPr>
          <w:rFonts w:ascii="宋体" w:hAnsi="宋体" w:cs="宋体"/>
          <w:color w:val="000000"/>
          <w:kern w:val="0"/>
          <w:sz w:val="24"/>
          <w:szCs w:val="24"/>
        </w:rPr>
        <w:t>2014</w:t>
      </w:r>
      <w:r w:rsidRPr="00CA2179">
        <w:rPr>
          <w:rFonts w:ascii="宋体" w:hAnsi="宋体" w:cs="宋体" w:hint="eastAsia"/>
          <w:color w:val="000000"/>
          <w:kern w:val="0"/>
          <w:sz w:val="24"/>
          <w:szCs w:val="24"/>
        </w:rPr>
        <w:t>级专科大学英语</w:t>
      </w:r>
      <w:r w:rsidRPr="00CA2179">
        <w:rPr>
          <w:rFonts w:ascii="宋体" w:hAnsi="宋体" w:cs="宋体"/>
          <w:color w:val="000000"/>
          <w:kern w:val="0"/>
          <w:sz w:val="24"/>
          <w:szCs w:val="24"/>
        </w:rPr>
        <w:t>3</w:t>
      </w:r>
      <w:r w:rsidRPr="00CA2179">
        <w:rPr>
          <w:rFonts w:ascii="宋体" w:hAnsi="宋体" w:cs="宋体" w:hint="eastAsia"/>
          <w:color w:val="000000"/>
          <w:kern w:val="0"/>
          <w:sz w:val="24"/>
          <w:szCs w:val="24"/>
        </w:rPr>
        <w:t>平均分</w:t>
      </w:r>
    </w:p>
    <w:p w:rsidR="009A01B4" w:rsidRDefault="009A01B4" w:rsidP="00CA2179">
      <w:pPr>
        <w:widowControl/>
        <w:jc w:val="center"/>
        <w:rPr>
          <w:rFonts w:ascii="宋体" w:hAnsi="Times New Roman" w:cs="宋体"/>
          <w:color w:val="000000"/>
          <w:kern w:val="0"/>
          <w:sz w:val="24"/>
          <w:szCs w:val="24"/>
        </w:rPr>
      </w:pPr>
    </w:p>
    <w:p w:rsidR="009A01B4" w:rsidRDefault="009A01B4" w:rsidP="00CA2179">
      <w:pPr>
        <w:widowControl/>
        <w:jc w:val="center"/>
        <w:rPr>
          <w:rFonts w:ascii="宋体" w:hAnsi="Times New Roman" w:cs="宋体"/>
          <w:color w:val="000000"/>
          <w:kern w:val="0"/>
          <w:sz w:val="24"/>
          <w:szCs w:val="24"/>
        </w:rPr>
      </w:pPr>
    </w:p>
    <w:p w:rsidR="009A01B4" w:rsidRDefault="009A01B4" w:rsidP="00CA2179">
      <w:pPr>
        <w:widowControl/>
        <w:jc w:val="center"/>
        <w:rPr>
          <w:rFonts w:ascii="宋体" w:hAnsi="Times New Roman" w:cs="宋体"/>
          <w:color w:val="000000"/>
          <w:kern w:val="0"/>
          <w:sz w:val="24"/>
          <w:szCs w:val="24"/>
        </w:rPr>
      </w:pPr>
    </w:p>
    <w:p w:rsidR="009A01B4" w:rsidRPr="00CA2179" w:rsidRDefault="009A01B4" w:rsidP="00CA2179">
      <w:pPr>
        <w:widowControl/>
        <w:jc w:val="center"/>
        <w:rPr>
          <w:rFonts w:ascii="宋体" w:hAnsi="Times New Roman" w:cs="宋体"/>
          <w:color w:val="000000"/>
          <w:kern w:val="0"/>
          <w:sz w:val="24"/>
          <w:szCs w:val="24"/>
        </w:rPr>
      </w:pPr>
    </w:p>
    <w:tbl>
      <w:tblPr>
        <w:tblW w:w="8363" w:type="dxa"/>
        <w:jc w:val="center"/>
        <w:tblLayout w:type="fixed"/>
        <w:tblLook w:val="00A0" w:firstRow="1" w:lastRow="0" w:firstColumn="1" w:lastColumn="0" w:noHBand="0" w:noVBand="0"/>
      </w:tblPr>
      <w:tblGrid>
        <w:gridCol w:w="2234"/>
        <w:gridCol w:w="1417"/>
        <w:gridCol w:w="1418"/>
        <w:gridCol w:w="1276"/>
        <w:gridCol w:w="2018"/>
      </w:tblGrid>
      <w:tr w:rsidR="009A01B4" w:rsidRPr="00CA2179" w:rsidTr="00EE0B8E">
        <w:trPr>
          <w:trHeight w:val="570"/>
          <w:jc w:val="center"/>
        </w:trPr>
        <w:tc>
          <w:tcPr>
            <w:tcW w:w="8363" w:type="dxa"/>
            <w:gridSpan w:val="5"/>
            <w:tcBorders>
              <w:top w:val="nil"/>
              <w:left w:val="nil"/>
              <w:bottom w:val="nil"/>
              <w:right w:val="nil"/>
            </w:tcBorders>
            <w:vAlign w:val="center"/>
          </w:tcPr>
          <w:p w:rsidR="009A01B4" w:rsidRPr="00CA2179" w:rsidRDefault="009A01B4" w:rsidP="00CA2179">
            <w:pPr>
              <w:widowControl/>
              <w:jc w:val="center"/>
              <w:rPr>
                <w:rFonts w:ascii="宋体" w:hAnsi="Times New Roman" w:cs="宋体"/>
                <w:color w:val="000000"/>
                <w:kern w:val="0"/>
                <w:sz w:val="24"/>
                <w:szCs w:val="24"/>
              </w:rPr>
            </w:pPr>
            <w:r w:rsidRPr="00CA2179">
              <w:rPr>
                <w:rFonts w:ascii="宋体" w:hAnsi="宋体" w:cs="宋体" w:hint="eastAsia"/>
                <w:color w:val="000000"/>
                <w:kern w:val="0"/>
                <w:sz w:val="24"/>
                <w:szCs w:val="24"/>
              </w:rPr>
              <w:lastRenderedPageBreak/>
              <w:t>表</w:t>
            </w:r>
            <w:r w:rsidRPr="00CA2179">
              <w:rPr>
                <w:rFonts w:ascii="宋体" w:hAnsi="宋体" w:cs="宋体"/>
                <w:color w:val="000000"/>
                <w:kern w:val="0"/>
                <w:sz w:val="24"/>
                <w:szCs w:val="24"/>
              </w:rPr>
              <w:t>7  2014</w:t>
            </w:r>
            <w:r w:rsidRPr="00CA2179">
              <w:rPr>
                <w:rFonts w:ascii="宋体" w:hAnsi="宋体" w:cs="宋体" w:hint="eastAsia"/>
                <w:color w:val="000000"/>
                <w:kern w:val="0"/>
                <w:sz w:val="24"/>
                <w:szCs w:val="24"/>
              </w:rPr>
              <w:t>级本科大学英语Ⅲ成绩分布状况</w:t>
            </w:r>
          </w:p>
        </w:tc>
      </w:tr>
      <w:tr w:rsidR="009A01B4" w:rsidRPr="00CA2179" w:rsidTr="00EE0B8E">
        <w:trPr>
          <w:trHeight w:val="693"/>
          <w:jc w:val="center"/>
        </w:trPr>
        <w:tc>
          <w:tcPr>
            <w:tcW w:w="2234" w:type="dxa"/>
            <w:tcBorders>
              <w:top w:val="single" w:sz="4" w:space="0" w:color="auto"/>
              <w:left w:val="single" w:sz="4" w:space="0" w:color="auto"/>
              <w:bottom w:val="single" w:sz="4" w:space="0" w:color="auto"/>
              <w:right w:val="single" w:sz="4" w:space="0" w:color="auto"/>
              <w:tl2br w:val="single" w:sz="4" w:space="0" w:color="auto"/>
            </w:tcBorders>
            <w:shd w:val="clear" w:color="000000" w:fill="FFFFFF"/>
            <w:vAlign w:val="center"/>
          </w:tcPr>
          <w:p w:rsidR="009A01B4" w:rsidRPr="00CA2179" w:rsidRDefault="009A01B4" w:rsidP="00CA2179">
            <w:pPr>
              <w:widowControl/>
              <w:jc w:val="center"/>
              <w:rPr>
                <w:rFonts w:ascii="宋体" w:cs="Calibri"/>
                <w:color w:val="000000"/>
                <w:kern w:val="0"/>
                <w:szCs w:val="21"/>
              </w:rPr>
            </w:pPr>
            <w:r w:rsidRPr="00CA2179">
              <w:rPr>
                <w:rFonts w:ascii="宋体" w:hAnsi="宋体" w:cs="Calibri"/>
                <w:color w:val="000000"/>
                <w:kern w:val="0"/>
                <w:szCs w:val="21"/>
              </w:rPr>
              <w:t xml:space="preserve">   </w:t>
            </w:r>
            <w:r>
              <w:rPr>
                <w:rFonts w:ascii="宋体" w:hAnsi="宋体" w:cs="Calibri"/>
                <w:color w:val="000000"/>
                <w:kern w:val="0"/>
                <w:szCs w:val="21"/>
              </w:rPr>
              <w:t xml:space="preserve">      </w:t>
            </w:r>
            <w:r w:rsidRPr="00CA2179">
              <w:rPr>
                <w:rFonts w:ascii="宋体" w:hAnsi="宋体" w:cs="Calibri" w:hint="eastAsia"/>
                <w:color w:val="000000"/>
                <w:kern w:val="0"/>
                <w:szCs w:val="21"/>
              </w:rPr>
              <w:t>成绩</w:t>
            </w:r>
          </w:p>
          <w:p w:rsidR="009A01B4" w:rsidRPr="00CA2179" w:rsidRDefault="009A01B4" w:rsidP="00CA2179">
            <w:pPr>
              <w:widowControl/>
              <w:rPr>
                <w:rFonts w:ascii="宋体" w:hAnsi="Times New Roman" w:cs="Calibri"/>
                <w:color w:val="000000"/>
                <w:kern w:val="0"/>
                <w:szCs w:val="21"/>
              </w:rPr>
            </w:pPr>
            <w:r w:rsidRPr="00CA2179">
              <w:rPr>
                <w:rFonts w:ascii="宋体" w:hAnsi="宋体" w:cs="Calibri" w:hint="eastAsia"/>
                <w:color w:val="000000"/>
                <w:kern w:val="0"/>
                <w:szCs w:val="21"/>
              </w:rPr>
              <w:t>学院</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优秀率</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不及格率</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平均分</w:t>
            </w:r>
          </w:p>
        </w:tc>
        <w:tc>
          <w:tcPr>
            <w:tcW w:w="2018" w:type="dxa"/>
            <w:tcBorders>
              <w:top w:val="single" w:sz="4" w:space="0" w:color="auto"/>
              <w:left w:val="single" w:sz="4" w:space="0" w:color="auto"/>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备注</w:t>
            </w:r>
          </w:p>
        </w:tc>
      </w:tr>
      <w:tr w:rsidR="009A01B4" w:rsidRPr="00CA2179" w:rsidTr="00EE0B8E">
        <w:trPr>
          <w:trHeight w:val="570"/>
          <w:jc w:val="center"/>
        </w:trPr>
        <w:tc>
          <w:tcPr>
            <w:tcW w:w="2234" w:type="dxa"/>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政治与公共管理学院</w:t>
            </w:r>
          </w:p>
        </w:tc>
        <w:tc>
          <w:tcPr>
            <w:tcW w:w="1417"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8.28%</w:t>
            </w:r>
          </w:p>
        </w:tc>
        <w:tc>
          <w:tcPr>
            <w:tcW w:w="1418"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0.64%</w:t>
            </w:r>
          </w:p>
        </w:tc>
        <w:tc>
          <w:tcPr>
            <w:tcW w:w="1276"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81.34</w:t>
            </w:r>
          </w:p>
        </w:tc>
        <w:tc>
          <w:tcPr>
            <w:tcW w:w="2018"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70"/>
          <w:jc w:val="center"/>
        </w:trPr>
        <w:tc>
          <w:tcPr>
            <w:tcW w:w="2234"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经济管理学院</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13.39%</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0.39%</w:t>
            </w:r>
          </w:p>
        </w:tc>
        <w:tc>
          <w:tcPr>
            <w:tcW w:w="1276"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81.71</w:t>
            </w:r>
          </w:p>
        </w:tc>
        <w:tc>
          <w:tcPr>
            <w:tcW w:w="201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70"/>
          <w:jc w:val="center"/>
        </w:trPr>
        <w:tc>
          <w:tcPr>
            <w:tcW w:w="2234" w:type="dxa"/>
            <w:tcBorders>
              <w:top w:val="single" w:sz="4" w:space="0" w:color="auto"/>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信息工程学院</w:t>
            </w:r>
          </w:p>
        </w:tc>
        <w:tc>
          <w:tcPr>
            <w:tcW w:w="1417"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5.65%</w:t>
            </w:r>
          </w:p>
        </w:tc>
        <w:tc>
          <w:tcPr>
            <w:tcW w:w="1418"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1.61%</w:t>
            </w:r>
          </w:p>
        </w:tc>
        <w:tc>
          <w:tcPr>
            <w:tcW w:w="1276" w:type="dxa"/>
            <w:tcBorders>
              <w:top w:val="single" w:sz="4" w:space="0" w:color="auto"/>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77.09</w:t>
            </w:r>
          </w:p>
        </w:tc>
        <w:tc>
          <w:tcPr>
            <w:tcW w:w="2018" w:type="dxa"/>
            <w:tcBorders>
              <w:top w:val="single" w:sz="4" w:space="0" w:color="auto"/>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70"/>
          <w:jc w:val="center"/>
        </w:trPr>
        <w:tc>
          <w:tcPr>
            <w:tcW w:w="2234"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会计学院</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22.68%</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0.00%</w:t>
            </w:r>
          </w:p>
        </w:tc>
        <w:tc>
          <w:tcPr>
            <w:tcW w:w="1276"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83.95</w:t>
            </w:r>
          </w:p>
        </w:tc>
        <w:tc>
          <w:tcPr>
            <w:tcW w:w="201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870"/>
          <w:jc w:val="center"/>
        </w:trPr>
        <w:tc>
          <w:tcPr>
            <w:tcW w:w="2234"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文化传播学院</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19.21%</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4.83%</w:t>
            </w:r>
          </w:p>
        </w:tc>
        <w:tc>
          <w:tcPr>
            <w:tcW w:w="1276"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79</w:t>
            </w:r>
          </w:p>
        </w:tc>
        <w:tc>
          <w:tcPr>
            <w:tcW w:w="201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其中播音与主持艺术专业为艺术类</w:t>
            </w:r>
          </w:p>
        </w:tc>
      </w:tr>
      <w:tr w:rsidR="009A01B4" w:rsidRPr="00CA2179" w:rsidTr="00EE0B8E">
        <w:trPr>
          <w:trHeight w:val="570"/>
          <w:jc w:val="center"/>
        </w:trPr>
        <w:tc>
          <w:tcPr>
            <w:tcW w:w="2234"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旅游学院</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0.00%</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2.86%</w:t>
            </w:r>
          </w:p>
        </w:tc>
        <w:tc>
          <w:tcPr>
            <w:tcW w:w="1276"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73.66</w:t>
            </w:r>
          </w:p>
        </w:tc>
        <w:tc>
          <w:tcPr>
            <w:tcW w:w="201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 xml:space="preserve">　</w:t>
            </w:r>
          </w:p>
        </w:tc>
      </w:tr>
      <w:tr w:rsidR="009A01B4" w:rsidRPr="00CA2179" w:rsidTr="00EE0B8E">
        <w:trPr>
          <w:trHeight w:val="570"/>
          <w:jc w:val="center"/>
        </w:trPr>
        <w:tc>
          <w:tcPr>
            <w:tcW w:w="2234"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舞蹈学院</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29.79%</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0.00%</w:t>
            </w:r>
          </w:p>
        </w:tc>
        <w:tc>
          <w:tcPr>
            <w:tcW w:w="1276"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83.26</w:t>
            </w:r>
          </w:p>
        </w:tc>
        <w:tc>
          <w:tcPr>
            <w:tcW w:w="201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艺术类</w:t>
            </w:r>
          </w:p>
        </w:tc>
      </w:tr>
      <w:tr w:rsidR="009A01B4" w:rsidRPr="00CA2179" w:rsidTr="00EE0B8E">
        <w:trPr>
          <w:trHeight w:val="570"/>
          <w:jc w:val="center"/>
        </w:trPr>
        <w:tc>
          <w:tcPr>
            <w:tcW w:w="2234" w:type="dxa"/>
            <w:tcBorders>
              <w:top w:val="nil"/>
              <w:left w:val="single" w:sz="4" w:space="0" w:color="auto"/>
              <w:bottom w:val="single" w:sz="4" w:space="0" w:color="auto"/>
              <w:right w:val="single" w:sz="4" w:space="0" w:color="auto"/>
            </w:tcBorders>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设计艺术学院</w:t>
            </w:r>
          </w:p>
        </w:tc>
        <w:tc>
          <w:tcPr>
            <w:tcW w:w="1417"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1.08%</w:t>
            </w:r>
          </w:p>
        </w:tc>
        <w:tc>
          <w:tcPr>
            <w:tcW w:w="1418"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4.84%</w:t>
            </w:r>
          </w:p>
        </w:tc>
        <w:tc>
          <w:tcPr>
            <w:tcW w:w="1276" w:type="dxa"/>
            <w:tcBorders>
              <w:top w:val="nil"/>
              <w:left w:val="nil"/>
              <w:bottom w:val="single" w:sz="4" w:space="0" w:color="auto"/>
              <w:right w:val="single" w:sz="4" w:space="0" w:color="auto"/>
            </w:tcBorders>
            <w:vAlign w:val="center"/>
          </w:tcPr>
          <w:p w:rsidR="009A01B4" w:rsidRPr="00CA2179" w:rsidRDefault="009A01B4" w:rsidP="00CA2179">
            <w:pPr>
              <w:widowControl/>
              <w:jc w:val="center"/>
              <w:rPr>
                <w:rFonts w:ascii="宋体" w:hAnsi="宋体" w:cs="Calibri"/>
                <w:color w:val="000000"/>
                <w:kern w:val="0"/>
                <w:szCs w:val="21"/>
              </w:rPr>
            </w:pPr>
            <w:r w:rsidRPr="00CA2179">
              <w:rPr>
                <w:rFonts w:ascii="宋体" w:hAnsi="宋体" w:cs="Calibri"/>
                <w:color w:val="000000"/>
                <w:kern w:val="0"/>
                <w:szCs w:val="21"/>
              </w:rPr>
              <w:t>71.67</w:t>
            </w:r>
          </w:p>
        </w:tc>
        <w:tc>
          <w:tcPr>
            <w:tcW w:w="2018" w:type="dxa"/>
            <w:tcBorders>
              <w:top w:val="nil"/>
              <w:left w:val="nil"/>
              <w:bottom w:val="single" w:sz="4" w:space="0" w:color="auto"/>
              <w:right w:val="single" w:sz="4" w:space="0" w:color="auto"/>
            </w:tcBorders>
            <w:shd w:val="clear" w:color="000000" w:fill="FFFFFF"/>
            <w:vAlign w:val="center"/>
          </w:tcPr>
          <w:p w:rsidR="009A01B4" w:rsidRPr="00CA2179" w:rsidRDefault="009A01B4" w:rsidP="00CA2179">
            <w:pPr>
              <w:widowControl/>
              <w:jc w:val="center"/>
              <w:rPr>
                <w:rFonts w:ascii="宋体" w:hAnsi="Times New Roman" w:cs="宋体"/>
                <w:color w:val="000000"/>
                <w:kern w:val="0"/>
                <w:szCs w:val="21"/>
              </w:rPr>
            </w:pPr>
            <w:r w:rsidRPr="00CA2179">
              <w:rPr>
                <w:rFonts w:ascii="宋体" w:hAnsi="宋体" w:cs="宋体" w:hint="eastAsia"/>
                <w:color w:val="000000"/>
                <w:kern w:val="0"/>
                <w:szCs w:val="21"/>
              </w:rPr>
              <w:t>艺术类</w:t>
            </w:r>
          </w:p>
        </w:tc>
      </w:tr>
      <w:tr w:rsidR="009A01B4" w:rsidRPr="00CA2179" w:rsidTr="00EE0B8E">
        <w:trPr>
          <w:trHeight w:val="450"/>
          <w:jc w:val="center"/>
        </w:trPr>
        <w:tc>
          <w:tcPr>
            <w:tcW w:w="8363" w:type="dxa"/>
            <w:gridSpan w:val="5"/>
            <w:tcBorders>
              <w:top w:val="nil"/>
              <w:left w:val="nil"/>
              <w:bottom w:val="nil"/>
              <w:right w:val="nil"/>
            </w:tcBorders>
            <w:vAlign w:val="center"/>
          </w:tcPr>
          <w:p w:rsidR="009A01B4" w:rsidRPr="00CA2179" w:rsidRDefault="009A01B4" w:rsidP="005554CC">
            <w:pPr>
              <w:widowControl/>
              <w:spacing w:beforeLines="50" w:before="120"/>
              <w:rPr>
                <w:rFonts w:ascii="宋体" w:hAnsi="Times New Roman" w:cs="宋体"/>
                <w:color w:val="000000"/>
                <w:kern w:val="0"/>
                <w:sz w:val="24"/>
                <w:szCs w:val="24"/>
              </w:rPr>
            </w:pPr>
            <w:r w:rsidRPr="00CA2179">
              <w:rPr>
                <w:rFonts w:ascii="宋体" w:hAnsi="宋体" w:cs="宋体" w:hint="eastAsia"/>
                <w:color w:val="000000"/>
                <w:kern w:val="0"/>
                <w:sz w:val="24"/>
                <w:szCs w:val="24"/>
              </w:rPr>
              <w:t>注：外国语学院未开设大学英语Ⅲ课程</w:t>
            </w:r>
          </w:p>
          <w:p w:rsidR="009A01B4" w:rsidRPr="00CA2179" w:rsidRDefault="009A01B4" w:rsidP="00CA2179">
            <w:pPr>
              <w:widowControl/>
              <w:jc w:val="center"/>
              <w:rPr>
                <w:rFonts w:ascii="宋体" w:hAnsi="Times New Roman" w:cs="宋体"/>
                <w:color w:val="000000"/>
                <w:kern w:val="0"/>
                <w:sz w:val="24"/>
                <w:szCs w:val="24"/>
              </w:rPr>
            </w:pPr>
          </w:p>
        </w:tc>
      </w:tr>
    </w:tbl>
    <w:p w:rsidR="009A01B4" w:rsidRPr="00CA2179" w:rsidRDefault="00577C92" w:rsidP="00CA2179">
      <w:pPr>
        <w:jc w:val="center"/>
        <w:rPr>
          <w:rFonts w:ascii="Times New Roman" w:hAnsi="Times New Roman"/>
          <w:szCs w:val="24"/>
        </w:rPr>
      </w:pPr>
      <w:r>
        <w:rPr>
          <w:rFonts w:ascii="Times New Roman" w:hAnsi="Times New Roman"/>
          <w:noProof/>
          <w:szCs w:val="24"/>
        </w:rPr>
        <w:pict>
          <v:shape id="图片 5" o:spid="_x0000_i1029" type="#_x0000_t75" style="width:408pt;height:207.75pt;visibility:visible">
            <v:imagedata r:id="rId14" o:title=""/>
          </v:shape>
        </w:pict>
      </w:r>
    </w:p>
    <w:p w:rsidR="009A01B4" w:rsidRPr="00BA3752" w:rsidRDefault="009A01B4" w:rsidP="00BA3752">
      <w:pPr>
        <w:widowControl/>
        <w:jc w:val="center"/>
        <w:rPr>
          <w:rFonts w:ascii="宋体" w:hAnsi="Times New Roman" w:cs="宋体"/>
          <w:color w:val="000000"/>
          <w:kern w:val="0"/>
          <w:sz w:val="24"/>
          <w:szCs w:val="24"/>
        </w:rPr>
      </w:pPr>
      <w:r w:rsidRPr="00CA2179">
        <w:rPr>
          <w:rFonts w:ascii="宋体" w:hAnsi="宋体" w:cs="宋体" w:hint="eastAsia"/>
          <w:color w:val="000000"/>
          <w:kern w:val="0"/>
          <w:sz w:val="24"/>
          <w:szCs w:val="24"/>
        </w:rPr>
        <w:t>图</w:t>
      </w:r>
      <w:r w:rsidRPr="00CA2179">
        <w:rPr>
          <w:rFonts w:ascii="宋体" w:hAnsi="宋体" w:cs="宋体"/>
          <w:color w:val="000000"/>
          <w:kern w:val="0"/>
          <w:sz w:val="24"/>
          <w:szCs w:val="24"/>
        </w:rPr>
        <w:t xml:space="preserve">5  </w:t>
      </w:r>
      <w:r w:rsidRPr="00CA2179">
        <w:rPr>
          <w:rFonts w:ascii="宋体" w:hAnsi="宋体" w:cs="宋体" w:hint="eastAsia"/>
          <w:color w:val="000000"/>
          <w:kern w:val="0"/>
          <w:sz w:val="24"/>
          <w:szCs w:val="24"/>
        </w:rPr>
        <w:t>各学院</w:t>
      </w:r>
      <w:r w:rsidRPr="00CA2179">
        <w:rPr>
          <w:rFonts w:ascii="宋体" w:hAnsi="宋体" w:cs="宋体"/>
          <w:color w:val="000000"/>
          <w:kern w:val="0"/>
          <w:sz w:val="24"/>
          <w:szCs w:val="24"/>
        </w:rPr>
        <w:t>2014</w:t>
      </w:r>
      <w:r w:rsidRPr="00CA2179">
        <w:rPr>
          <w:rFonts w:ascii="宋体" w:hAnsi="宋体" w:cs="宋体" w:hint="eastAsia"/>
          <w:color w:val="000000"/>
          <w:kern w:val="0"/>
          <w:sz w:val="24"/>
          <w:szCs w:val="24"/>
        </w:rPr>
        <w:t>级本科大学英语Ⅲ成绩对比图</w:t>
      </w:r>
    </w:p>
    <w:p w:rsidR="009A01B4" w:rsidRPr="00CA2179" w:rsidRDefault="00577C92" w:rsidP="00B42A20">
      <w:pPr>
        <w:jc w:val="center"/>
        <w:rPr>
          <w:rFonts w:ascii="Times New Roman" w:hAnsi="Times New Roman"/>
          <w:szCs w:val="24"/>
        </w:rPr>
      </w:pPr>
      <w:r>
        <w:rPr>
          <w:rFonts w:ascii="Times New Roman" w:hAnsi="Times New Roman"/>
          <w:noProof/>
          <w:szCs w:val="24"/>
        </w:rPr>
        <w:lastRenderedPageBreak/>
        <w:pict>
          <v:shape id="图片 6" o:spid="_x0000_i1030" type="#_x0000_t75" style="width:417.75pt;height:171.75pt;visibility:visible">
            <v:imagedata r:id="rId15" o:title=""/>
          </v:shape>
        </w:pict>
      </w:r>
    </w:p>
    <w:p w:rsidR="009A01B4" w:rsidRPr="00CA2179" w:rsidRDefault="009A01B4" w:rsidP="005554CC">
      <w:pPr>
        <w:widowControl/>
        <w:spacing w:beforeLines="50" w:before="120" w:afterLines="50" w:after="120"/>
        <w:jc w:val="center"/>
        <w:rPr>
          <w:rFonts w:ascii="宋体" w:hAnsi="Times New Roman" w:cs="宋体"/>
          <w:color w:val="000000"/>
          <w:kern w:val="0"/>
          <w:sz w:val="24"/>
          <w:szCs w:val="24"/>
        </w:rPr>
      </w:pPr>
      <w:r w:rsidRPr="00CA2179">
        <w:rPr>
          <w:rFonts w:ascii="宋体" w:hAnsi="宋体" w:cs="宋体" w:hint="eastAsia"/>
          <w:color w:val="000000"/>
          <w:kern w:val="0"/>
          <w:sz w:val="24"/>
          <w:szCs w:val="24"/>
        </w:rPr>
        <w:t>图</w:t>
      </w:r>
      <w:r w:rsidRPr="00CA2179">
        <w:rPr>
          <w:rFonts w:ascii="宋体" w:hAnsi="宋体" w:cs="宋体"/>
          <w:color w:val="000000"/>
          <w:kern w:val="0"/>
          <w:sz w:val="24"/>
          <w:szCs w:val="24"/>
        </w:rPr>
        <w:t xml:space="preserve">6  </w:t>
      </w:r>
      <w:r w:rsidRPr="00CA2179">
        <w:rPr>
          <w:rFonts w:ascii="宋体" w:hAnsi="宋体" w:cs="宋体" w:hint="eastAsia"/>
          <w:color w:val="000000"/>
          <w:kern w:val="0"/>
          <w:sz w:val="24"/>
          <w:szCs w:val="24"/>
        </w:rPr>
        <w:t>各学院</w:t>
      </w:r>
      <w:r w:rsidRPr="00CA2179">
        <w:rPr>
          <w:rFonts w:ascii="宋体" w:hAnsi="宋体" w:cs="宋体"/>
          <w:color w:val="000000"/>
          <w:kern w:val="0"/>
          <w:sz w:val="24"/>
          <w:szCs w:val="24"/>
        </w:rPr>
        <w:t>2014</w:t>
      </w:r>
      <w:r w:rsidRPr="00CA2179">
        <w:rPr>
          <w:rFonts w:ascii="宋体" w:hAnsi="宋体" w:cs="宋体" w:hint="eastAsia"/>
          <w:color w:val="000000"/>
          <w:kern w:val="0"/>
          <w:sz w:val="24"/>
          <w:szCs w:val="24"/>
        </w:rPr>
        <w:t>级本科大学英语</w:t>
      </w:r>
      <w:proofErr w:type="gramStart"/>
      <w:r w:rsidRPr="00CA2179">
        <w:rPr>
          <w:rFonts w:ascii="宋体" w:hAnsi="宋体" w:cs="宋体" w:hint="eastAsia"/>
          <w:color w:val="000000"/>
          <w:kern w:val="0"/>
          <w:sz w:val="24"/>
          <w:szCs w:val="24"/>
        </w:rPr>
        <w:t>Ⅲ平均</w:t>
      </w:r>
      <w:proofErr w:type="gramEnd"/>
      <w:r w:rsidRPr="00CA2179">
        <w:rPr>
          <w:rFonts w:ascii="宋体" w:hAnsi="宋体" w:cs="宋体" w:hint="eastAsia"/>
          <w:color w:val="000000"/>
          <w:kern w:val="0"/>
          <w:sz w:val="24"/>
          <w:szCs w:val="24"/>
        </w:rPr>
        <w:t>分</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hint="eastAsia"/>
          <w:kern w:val="0"/>
          <w:sz w:val="28"/>
          <w:szCs w:val="28"/>
        </w:rPr>
        <w:t>从总体看，设计艺术学院、旅游学院和文化传播学院的大学英语成绩不及格率相对高一些，舞蹈学院、会计学院和经济管理学院的大学英语成绩优秀率要高一些。舞蹈学院和文化传播学院的</w:t>
      </w:r>
      <w:r w:rsidRPr="00CA2179">
        <w:rPr>
          <w:rFonts w:ascii="仿宋" w:eastAsia="仿宋" w:hAnsi="仿宋" w:cs="Calibri"/>
          <w:kern w:val="0"/>
          <w:sz w:val="28"/>
          <w:szCs w:val="28"/>
        </w:rPr>
        <w:t>2014</w:t>
      </w:r>
      <w:r w:rsidRPr="00CA2179">
        <w:rPr>
          <w:rFonts w:ascii="仿宋" w:eastAsia="仿宋" w:hAnsi="仿宋" w:cs="Calibri" w:hint="eastAsia"/>
          <w:kern w:val="0"/>
          <w:sz w:val="28"/>
          <w:szCs w:val="28"/>
        </w:rPr>
        <w:t>级本科大学英语Ⅲ成绩优秀</w:t>
      </w:r>
      <w:proofErr w:type="gramStart"/>
      <w:r w:rsidRPr="00CA2179">
        <w:rPr>
          <w:rFonts w:ascii="仿宋" w:eastAsia="仿宋" w:hAnsi="仿宋" w:cs="Calibri" w:hint="eastAsia"/>
          <w:kern w:val="0"/>
          <w:sz w:val="28"/>
          <w:szCs w:val="28"/>
        </w:rPr>
        <w:t>率比例</w:t>
      </w:r>
      <w:proofErr w:type="gramEnd"/>
      <w:r w:rsidRPr="00CA2179">
        <w:rPr>
          <w:rFonts w:ascii="仿宋" w:eastAsia="仿宋" w:hAnsi="仿宋" w:cs="Calibri" w:hint="eastAsia"/>
          <w:kern w:val="0"/>
          <w:sz w:val="28"/>
          <w:szCs w:val="28"/>
        </w:rPr>
        <w:t>偏高，需要进行进一步的分析，加强对艺术类学生大学英语课程学习和考试的管理。旅游学院的专业面向涉外领域，对毕业生外语能力的要求更高，其优秀率偏低应该引起足够的重视，并进一步引导学生加强对英语类课程的学习。</w:t>
      </w:r>
    </w:p>
    <w:p w:rsidR="009A01B4" w:rsidRPr="00CA2179" w:rsidRDefault="009A01B4" w:rsidP="00F37088">
      <w:pPr>
        <w:autoSpaceDE w:val="0"/>
        <w:autoSpaceDN w:val="0"/>
        <w:adjustRightInd w:val="0"/>
        <w:spacing w:line="520" w:lineRule="atLeast"/>
        <w:ind w:firstLineChars="200" w:firstLine="562"/>
        <w:rPr>
          <w:rFonts w:ascii="黑体" w:eastAsia="黑体" w:hAnsi="黑体" w:cs="宋体"/>
          <w:b/>
          <w:kern w:val="0"/>
          <w:sz w:val="28"/>
          <w:szCs w:val="28"/>
          <w:lang w:val="zh-CN"/>
        </w:rPr>
      </w:pPr>
      <w:r w:rsidRPr="00CA2179">
        <w:rPr>
          <w:rFonts w:ascii="黑体" w:eastAsia="黑体" w:hAnsi="黑体" w:cs="宋体" w:hint="eastAsia"/>
          <w:b/>
          <w:kern w:val="0"/>
          <w:sz w:val="28"/>
          <w:szCs w:val="28"/>
          <w:lang w:val="zh-CN"/>
        </w:rPr>
        <w:t>五、改进学生学习状况的建议和措施</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1.</w:t>
      </w:r>
      <w:r w:rsidRPr="00CA2179">
        <w:rPr>
          <w:rFonts w:ascii="仿宋" w:eastAsia="仿宋" w:hAnsi="仿宋" w:cs="Calibri" w:hint="eastAsia"/>
          <w:kern w:val="0"/>
          <w:sz w:val="28"/>
          <w:szCs w:val="28"/>
        </w:rPr>
        <w:t>全校不及格学生总数占参加考核学生总数的</w:t>
      </w:r>
      <w:r w:rsidRPr="00CA2179">
        <w:rPr>
          <w:rFonts w:ascii="仿宋" w:eastAsia="仿宋" w:hAnsi="仿宋" w:cs="Calibri"/>
          <w:kern w:val="0"/>
          <w:sz w:val="28"/>
          <w:szCs w:val="28"/>
        </w:rPr>
        <w:t>23.18%</w:t>
      </w:r>
      <w:r w:rsidRPr="00CA2179">
        <w:rPr>
          <w:rFonts w:ascii="仿宋" w:eastAsia="仿宋" w:hAnsi="仿宋" w:cs="Calibri" w:hint="eastAsia"/>
          <w:kern w:val="0"/>
          <w:sz w:val="28"/>
          <w:szCs w:val="28"/>
        </w:rPr>
        <w:t>，虽然较上学期的</w:t>
      </w:r>
      <w:r w:rsidRPr="00CA2179">
        <w:rPr>
          <w:rFonts w:ascii="仿宋" w:eastAsia="仿宋" w:hAnsi="仿宋" w:cs="Calibri"/>
          <w:kern w:val="0"/>
          <w:sz w:val="28"/>
          <w:szCs w:val="28"/>
        </w:rPr>
        <w:t>30.38%</w:t>
      </w:r>
      <w:r w:rsidRPr="00CA2179">
        <w:rPr>
          <w:rFonts w:ascii="仿宋" w:eastAsia="仿宋" w:hAnsi="仿宋" w:cs="Calibri" w:hint="eastAsia"/>
          <w:kern w:val="0"/>
          <w:sz w:val="28"/>
          <w:szCs w:val="28"/>
        </w:rPr>
        <w:t>下降</w:t>
      </w:r>
      <w:r w:rsidRPr="00CA2179">
        <w:rPr>
          <w:rFonts w:ascii="仿宋" w:eastAsia="仿宋" w:hAnsi="仿宋" w:cs="Calibri"/>
          <w:kern w:val="0"/>
          <w:sz w:val="28"/>
          <w:szCs w:val="28"/>
        </w:rPr>
        <w:t>7.2</w:t>
      </w:r>
      <w:r w:rsidRPr="00CA2179">
        <w:rPr>
          <w:rFonts w:ascii="仿宋" w:eastAsia="仿宋" w:hAnsi="仿宋" w:cs="Calibri" w:hint="eastAsia"/>
          <w:kern w:val="0"/>
          <w:sz w:val="28"/>
          <w:szCs w:val="28"/>
        </w:rPr>
        <w:t>个百分点，但仍需要各二级学院和任课教师积极采取各种措施，继续加强对学生学习的引导和督促，进一步加强学生管理，提高教学质量。</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2.</w:t>
      </w:r>
      <w:r w:rsidRPr="00CA2179">
        <w:rPr>
          <w:rFonts w:ascii="仿宋" w:eastAsia="仿宋" w:hAnsi="仿宋" w:cs="Calibri" w:hint="eastAsia"/>
          <w:kern w:val="0"/>
          <w:sz w:val="28"/>
          <w:szCs w:val="28"/>
        </w:rPr>
        <w:t>不论从总不及格率还是从大学英语不及格率看，本科学生的学习状况总体要好于专科学生的学习状况。建议各二级学院在加强对本科生学习引导和督促的同时，不能忽视专科学生的学习，要下大力气加强对专科学生的学习管理，以求进一步扭转学校的学风，提高学生学习的质量。</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lastRenderedPageBreak/>
        <w:t>3.</w:t>
      </w:r>
      <w:r w:rsidRPr="00CA2179">
        <w:rPr>
          <w:rFonts w:ascii="仿宋" w:eastAsia="仿宋" w:hAnsi="仿宋" w:cs="Calibri" w:hint="eastAsia"/>
          <w:kern w:val="0"/>
          <w:sz w:val="28"/>
          <w:szCs w:val="28"/>
        </w:rPr>
        <w:t>降低考核不及格率的重要举措是从多门课程不及格的小部分学生入手，重点做好其思想引导工作，有针对性的采取不同的措施，用多种方式激发他们主动学习的积极性。</w:t>
      </w:r>
    </w:p>
    <w:p w:rsidR="009A01B4" w:rsidRPr="00CA217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CA2179">
        <w:rPr>
          <w:rFonts w:ascii="仿宋" w:eastAsia="仿宋" w:hAnsi="仿宋" w:cs="Calibri"/>
          <w:kern w:val="0"/>
          <w:sz w:val="28"/>
          <w:szCs w:val="28"/>
        </w:rPr>
        <w:t>4.</w:t>
      </w:r>
      <w:r w:rsidRPr="00CA2179">
        <w:rPr>
          <w:rFonts w:ascii="仿宋" w:eastAsia="仿宋" w:hAnsi="仿宋" w:cs="Calibri" w:hint="eastAsia"/>
          <w:kern w:val="0"/>
          <w:sz w:val="28"/>
          <w:szCs w:val="28"/>
        </w:rPr>
        <w:t>通过对总不及格率和大学英语不及格率分析，以考核成绩不及格率高低衡量不同学院之间的学习状况，很难保证比较结果的科学性。并且缺少对学习主体</w:t>
      </w:r>
      <w:r>
        <w:rPr>
          <w:rFonts w:ascii="仿宋" w:eastAsia="仿宋" w:hAnsi="仿宋" w:cs="Calibri"/>
          <w:kern w:val="0"/>
          <w:sz w:val="28"/>
          <w:szCs w:val="28"/>
        </w:rPr>
        <w:t>——</w:t>
      </w:r>
      <w:r w:rsidRPr="00CA2179">
        <w:rPr>
          <w:rFonts w:ascii="仿宋" w:eastAsia="仿宋" w:hAnsi="仿宋" w:cs="Calibri" w:hint="eastAsia"/>
          <w:kern w:val="0"/>
          <w:sz w:val="28"/>
          <w:szCs w:val="28"/>
        </w:rPr>
        <w:t>学生自身因素的分析，在今后的分析过程中应该着重从学生角度考虑，剖析学生主观方面的因素，以求真正找到提高学生学习质量的根本方法。</w:t>
      </w:r>
    </w:p>
    <w:p w:rsidR="009A01B4" w:rsidRPr="00CA2179" w:rsidRDefault="009A01B4" w:rsidP="000804D0">
      <w:pPr>
        <w:spacing w:line="460" w:lineRule="exact"/>
        <w:rPr>
          <w:rFonts w:ascii="Times New Roman" w:hAnsi="Times New Roman"/>
        </w:rPr>
      </w:pPr>
    </w:p>
    <w:p w:rsidR="009A01B4" w:rsidRDefault="009A01B4" w:rsidP="000804D0">
      <w:pPr>
        <w:spacing w:line="460" w:lineRule="exact"/>
        <w:rPr>
          <w:rFonts w:ascii="Times New Roman" w:hAnsi="Times New Roman"/>
        </w:rPr>
      </w:pPr>
    </w:p>
    <w:p w:rsidR="009A01B4" w:rsidRDefault="009A01B4" w:rsidP="000804D0">
      <w:pPr>
        <w:widowControl/>
        <w:jc w:val="left"/>
        <w:rPr>
          <w:rFonts w:ascii="宋体" w:cs="宋体"/>
          <w:kern w:val="0"/>
          <w:sz w:val="24"/>
          <w:szCs w:val="24"/>
        </w:rPr>
      </w:pPr>
    </w:p>
    <w:p w:rsidR="009A01B4" w:rsidRDefault="009A01B4" w:rsidP="00CA2179">
      <w:pPr>
        <w:jc w:val="center"/>
        <w:rPr>
          <w:rFonts w:ascii="方正小标宋简体" w:eastAsia="方正小标宋简体" w:hAnsi="宋体"/>
          <w:sz w:val="44"/>
          <w:szCs w:val="44"/>
        </w:rPr>
      </w:pPr>
      <w:r>
        <w:rPr>
          <w:rFonts w:ascii="宋体"/>
          <w:sz w:val="28"/>
          <w:szCs w:val="28"/>
        </w:rPr>
        <w:br w:type="page"/>
      </w:r>
      <w:r w:rsidRPr="00CA2179">
        <w:rPr>
          <w:rFonts w:ascii="方正小标宋简体" w:eastAsia="方正小标宋简体" w:hAnsi="宋体"/>
          <w:sz w:val="44"/>
          <w:szCs w:val="44"/>
        </w:rPr>
        <w:lastRenderedPageBreak/>
        <w:t>2015-2016</w:t>
      </w:r>
      <w:r w:rsidRPr="00CA2179">
        <w:rPr>
          <w:rFonts w:ascii="方正小标宋简体" w:eastAsia="方正小标宋简体" w:hAnsi="宋体" w:hint="eastAsia"/>
          <w:sz w:val="44"/>
          <w:szCs w:val="44"/>
        </w:rPr>
        <w:t>学年第二学期</w:t>
      </w:r>
    </w:p>
    <w:p w:rsidR="009A01B4" w:rsidRPr="003F2BC7" w:rsidRDefault="009A01B4" w:rsidP="00CA2179">
      <w:pPr>
        <w:jc w:val="center"/>
        <w:rPr>
          <w:rFonts w:ascii="仿宋" w:eastAsia="仿宋" w:hAnsi="仿宋"/>
          <w:sz w:val="28"/>
          <w:szCs w:val="28"/>
        </w:rPr>
      </w:pPr>
      <w:r w:rsidRPr="00CA2179">
        <w:rPr>
          <w:rFonts w:ascii="方正小标宋简体" w:eastAsia="方正小标宋简体" w:hAnsi="宋体" w:hint="eastAsia"/>
          <w:sz w:val="44"/>
          <w:szCs w:val="44"/>
        </w:rPr>
        <w:t>学生学业预警情况分析报告</w:t>
      </w:r>
    </w:p>
    <w:p w:rsidR="009A01B4"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p>
    <w:p w:rsidR="009A01B4" w:rsidRPr="009E65A9"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034F24">
        <w:rPr>
          <w:rFonts w:ascii="仿宋" w:eastAsia="仿宋" w:hAnsi="仿宋" w:cs="Calibri" w:hint="eastAsia"/>
          <w:kern w:val="0"/>
          <w:sz w:val="28"/>
          <w:szCs w:val="28"/>
        </w:rPr>
        <w:t>为进一步强化对学生学习情况的监督、管理，督促学生努力学习，加强学校学风建设，保障人才培养质量，根据《山东青年政治学院全日制普通本科学生学业预警管理办法》等文件精神，教务处组织开展了本学期学生学业预警工作。现对本次学生学业预警情况汇总分析如下：</w:t>
      </w:r>
    </w:p>
    <w:p w:rsidR="009A01B4" w:rsidRPr="009E65A9" w:rsidRDefault="009A01B4" w:rsidP="00F37088">
      <w:pPr>
        <w:autoSpaceDE w:val="0"/>
        <w:autoSpaceDN w:val="0"/>
        <w:adjustRightInd w:val="0"/>
        <w:spacing w:line="520" w:lineRule="atLeast"/>
        <w:ind w:firstLineChars="200" w:firstLine="562"/>
        <w:rPr>
          <w:rFonts w:ascii="黑体" w:eastAsia="黑体" w:hAnsi="黑体" w:cs="Calibri"/>
          <w:b/>
          <w:kern w:val="0"/>
          <w:sz w:val="28"/>
          <w:szCs w:val="28"/>
        </w:rPr>
      </w:pPr>
      <w:r w:rsidRPr="009E65A9">
        <w:rPr>
          <w:rFonts w:ascii="黑体" w:eastAsia="黑体" w:hAnsi="黑体" w:cs="宋体" w:hint="eastAsia"/>
          <w:b/>
          <w:kern w:val="0"/>
          <w:sz w:val="28"/>
          <w:szCs w:val="28"/>
          <w:lang w:val="zh-CN"/>
        </w:rPr>
        <w:t>一、</w:t>
      </w:r>
      <w:r w:rsidRPr="009E65A9">
        <w:rPr>
          <w:rFonts w:ascii="黑体" w:eastAsia="黑体" w:hAnsi="黑体" w:cs="Calibri"/>
          <w:b/>
          <w:kern w:val="0"/>
          <w:sz w:val="28"/>
          <w:szCs w:val="28"/>
        </w:rPr>
        <w:t>2015-2016</w:t>
      </w:r>
      <w:r w:rsidRPr="009E65A9">
        <w:rPr>
          <w:rFonts w:ascii="黑体" w:eastAsia="黑体" w:hAnsi="黑体" w:cs="宋体" w:hint="eastAsia"/>
          <w:b/>
          <w:kern w:val="0"/>
          <w:sz w:val="28"/>
          <w:szCs w:val="28"/>
          <w:lang w:val="zh-CN"/>
        </w:rPr>
        <w:t>学年第二学期学生学业预警整体情况</w:t>
      </w:r>
    </w:p>
    <w:p w:rsidR="009A01B4" w:rsidRPr="00034F24"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034F24">
        <w:rPr>
          <w:rFonts w:ascii="仿宋" w:eastAsia="仿宋" w:hAnsi="仿宋" w:cs="Calibri" w:hint="eastAsia"/>
          <w:kern w:val="0"/>
          <w:sz w:val="28"/>
          <w:szCs w:val="28"/>
        </w:rPr>
        <w:t>（一）达到预警条件学生概况</w:t>
      </w:r>
    </w:p>
    <w:p w:rsidR="009A01B4" w:rsidRPr="00034F24"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034F24">
        <w:rPr>
          <w:rFonts w:ascii="仿宋" w:eastAsia="仿宋" w:hAnsi="仿宋" w:cs="Calibri"/>
          <w:kern w:val="0"/>
          <w:sz w:val="28"/>
          <w:szCs w:val="28"/>
        </w:rPr>
        <w:t>2015-2016</w:t>
      </w:r>
      <w:r w:rsidRPr="00034F24">
        <w:rPr>
          <w:rFonts w:ascii="仿宋" w:eastAsia="仿宋" w:hAnsi="仿宋" w:cs="Calibri" w:hint="eastAsia"/>
          <w:kern w:val="0"/>
          <w:sz w:val="28"/>
          <w:szCs w:val="28"/>
        </w:rPr>
        <w:t>学年第二学期学生学业预警工作面向全校所有本、专科在校生展开。经各学院筛查，全校共有</w:t>
      </w:r>
      <w:r w:rsidRPr="00034F24">
        <w:rPr>
          <w:rFonts w:ascii="仿宋" w:eastAsia="仿宋" w:hAnsi="仿宋" w:cs="Calibri"/>
          <w:kern w:val="0"/>
          <w:sz w:val="28"/>
          <w:szCs w:val="28"/>
        </w:rPr>
        <w:t>375</w:t>
      </w:r>
      <w:r w:rsidRPr="00034F24">
        <w:rPr>
          <w:rFonts w:ascii="仿宋" w:eastAsia="仿宋" w:hAnsi="仿宋" w:cs="Calibri" w:hint="eastAsia"/>
          <w:kern w:val="0"/>
          <w:sz w:val="28"/>
          <w:szCs w:val="28"/>
        </w:rPr>
        <w:t>名学生达到预警条件，较上学期增加</w:t>
      </w:r>
      <w:r w:rsidRPr="00034F24">
        <w:rPr>
          <w:rFonts w:ascii="仿宋" w:eastAsia="仿宋" w:hAnsi="仿宋" w:cs="Calibri"/>
          <w:kern w:val="0"/>
          <w:sz w:val="28"/>
          <w:szCs w:val="28"/>
        </w:rPr>
        <w:t>18</w:t>
      </w:r>
      <w:r w:rsidRPr="00034F24">
        <w:rPr>
          <w:rFonts w:ascii="仿宋" w:eastAsia="仿宋" w:hAnsi="仿宋" w:cs="Calibri" w:hint="eastAsia"/>
          <w:kern w:val="0"/>
          <w:sz w:val="28"/>
          <w:szCs w:val="28"/>
        </w:rPr>
        <w:t>人；被预警学生总数占全校学生总数的</w:t>
      </w:r>
      <w:r w:rsidRPr="00034F24">
        <w:rPr>
          <w:rFonts w:ascii="仿宋" w:eastAsia="仿宋" w:hAnsi="仿宋" w:cs="Calibri"/>
          <w:kern w:val="0"/>
          <w:sz w:val="28"/>
          <w:szCs w:val="28"/>
        </w:rPr>
        <w:t>3.05%</w:t>
      </w:r>
      <w:r w:rsidRPr="00034F24">
        <w:rPr>
          <w:rFonts w:ascii="仿宋" w:eastAsia="仿宋" w:hAnsi="仿宋" w:cs="Calibri" w:hint="eastAsia"/>
          <w:kern w:val="0"/>
          <w:sz w:val="28"/>
          <w:szCs w:val="28"/>
        </w:rPr>
        <w:t>，较上学期上升</w:t>
      </w:r>
      <w:r w:rsidRPr="00034F24">
        <w:rPr>
          <w:rFonts w:ascii="仿宋" w:eastAsia="仿宋" w:hAnsi="仿宋" w:cs="Calibri"/>
          <w:kern w:val="0"/>
          <w:sz w:val="28"/>
          <w:szCs w:val="28"/>
        </w:rPr>
        <w:t>0.15</w:t>
      </w:r>
      <w:r w:rsidRPr="00034F24">
        <w:rPr>
          <w:rFonts w:ascii="仿宋" w:eastAsia="仿宋" w:hAnsi="仿宋" w:cs="Calibri" w:hint="eastAsia"/>
          <w:kern w:val="0"/>
          <w:sz w:val="28"/>
          <w:szCs w:val="28"/>
        </w:rPr>
        <w:t>个百分点。各学院学生学业预警整体情况见表</w:t>
      </w:r>
      <w:r w:rsidRPr="00034F24">
        <w:rPr>
          <w:rFonts w:ascii="仿宋" w:eastAsia="仿宋" w:hAnsi="仿宋" w:cs="Calibri"/>
          <w:kern w:val="0"/>
          <w:sz w:val="28"/>
          <w:szCs w:val="28"/>
        </w:rPr>
        <w:t>1</w:t>
      </w:r>
      <w:r w:rsidRPr="00034F24">
        <w:rPr>
          <w:rFonts w:ascii="仿宋" w:eastAsia="仿宋" w:hAnsi="仿宋" w:cs="Calibri" w:hint="eastAsia"/>
          <w:kern w:val="0"/>
          <w:sz w:val="28"/>
          <w:szCs w:val="28"/>
        </w:rPr>
        <w:t>和图</w:t>
      </w:r>
      <w:r w:rsidRPr="00034F24">
        <w:rPr>
          <w:rFonts w:ascii="仿宋" w:eastAsia="仿宋" w:hAnsi="仿宋" w:cs="Calibri"/>
          <w:kern w:val="0"/>
          <w:sz w:val="28"/>
          <w:szCs w:val="28"/>
        </w:rPr>
        <w:t>1</w:t>
      </w:r>
      <w:r w:rsidRPr="00034F24">
        <w:rPr>
          <w:rFonts w:ascii="仿宋" w:eastAsia="仿宋" w:hAnsi="仿宋" w:cs="Calibri" w:hint="eastAsia"/>
          <w:kern w:val="0"/>
          <w:sz w:val="28"/>
          <w:szCs w:val="28"/>
        </w:rPr>
        <w:t>。其中，文化传播学院、会计学院、设计艺术学院被预警学生占学院在校生总数的比例偏高，均超出全校平均水平；最低的是舞蹈学院，其次是旅游学院，经济管理学院，三个学院被预警学生总数占学院在校生总数的</w:t>
      </w:r>
      <w:r w:rsidRPr="00034F24">
        <w:rPr>
          <w:rFonts w:ascii="仿宋" w:eastAsia="仿宋" w:hAnsi="仿宋" w:cs="Calibri"/>
          <w:kern w:val="0"/>
          <w:sz w:val="28"/>
          <w:szCs w:val="28"/>
        </w:rPr>
        <w:t>1.00%</w:t>
      </w:r>
      <w:r w:rsidRPr="00034F24">
        <w:rPr>
          <w:rFonts w:ascii="仿宋" w:eastAsia="仿宋" w:hAnsi="仿宋" w:cs="Calibri" w:hint="eastAsia"/>
          <w:kern w:val="0"/>
          <w:sz w:val="28"/>
          <w:szCs w:val="28"/>
        </w:rPr>
        <w:t>左右。</w:t>
      </w:r>
    </w:p>
    <w:tbl>
      <w:tblPr>
        <w:tblW w:w="9390" w:type="dxa"/>
        <w:tblInd w:w="-318" w:type="dxa"/>
        <w:tblLook w:val="00A0" w:firstRow="1" w:lastRow="0" w:firstColumn="1" w:lastColumn="0" w:noHBand="0" w:noVBand="0"/>
      </w:tblPr>
      <w:tblGrid>
        <w:gridCol w:w="993"/>
        <w:gridCol w:w="835"/>
        <w:gridCol w:w="744"/>
        <w:gridCol w:w="673"/>
        <w:gridCol w:w="709"/>
        <w:gridCol w:w="709"/>
        <w:gridCol w:w="850"/>
        <w:gridCol w:w="993"/>
        <w:gridCol w:w="850"/>
        <w:gridCol w:w="741"/>
        <w:gridCol w:w="1293"/>
      </w:tblGrid>
      <w:tr w:rsidR="009A01B4" w:rsidRPr="00A517A2" w:rsidTr="00BF424F">
        <w:trPr>
          <w:trHeight w:val="630"/>
        </w:trPr>
        <w:tc>
          <w:tcPr>
            <w:tcW w:w="9390" w:type="dxa"/>
            <w:gridSpan w:val="11"/>
            <w:tcBorders>
              <w:top w:val="nil"/>
              <w:left w:val="nil"/>
              <w:bottom w:val="nil"/>
              <w:right w:val="nil"/>
            </w:tcBorders>
            <w:noWrap/>
            <w:vAlign w:val="center"/>
          </w:tcPr>
          <w:p w:rsidR="009A01B4" w:rsidRPr="00A517A2" w:rsidRDefault="009A01B4" w:rsidP="00BA3752">
            <w:pPr>
              <w:widowControl/>
              <w:jc w:val="center"/>
              <w:rPr>
                <w:rFonts w:ascii="宋体" w:cs="宋体"/>
                <w:bCs/>
                <w:color w:val="000000"/>
                <w:kern w:val="0"/>
                <w:sz w:val="24"/>
              </w:rPr>
            </w:pPr>
            <w:r w:rsidRPr="00A517A2">
              <w:rPr>
                <w:rFonts w:ascii="宋体" w:hAnsi="宋体" w:cs="宋体" w:hint="eastAsia"/>
                <w:bCs/>
                <w:color w:val="000000"/>
                <w:kern w:val="0"/>
                <w:sz w:val="24"/>
              </w:rPr>
              <w:t>表</w:t>
            </w:r>
            <w:r w:rsidRPr="00A517A2">
              <w:rPr>
                <w:rFonts w:ascii="宋体" w:hAnsi="宋体" w:cs="宋体"/>
                <w:bCs/>
                <w:color w:val="000000"/>
                <w:kern w:val="0"/>
                <w:sz w:val="24"/>
              </w:rPr>
              <w:t>1  2015-2016</w:t>
            </w:r>
            <w:r w:rsidRPr="00A517A2">
              <w:rPr>
                <w:rFonts w:ascii="宋体" w:hAnsi="宋体" w:cs="宋体" w:hint="eastAsia"/>
                <w:bCs/>
                <w:color w:val="000000"/>
                <w:kern w:val="0"/>
                <w:sz w:val="24"/>
              </w:rPr>
              <w:t>学年第二学期学生学业预警信息统计表</w:t>
            </w:r>
          </w:p>
        </w:tc>
      </w:tr>
      <w:tr w:rsidR="009A01B4" w:rsidRPr="00736926" w:rsidTr="00BF424F">
        <w:trPr>
          <w:trHeight w:val="1096"/>
        </w:trPr>
        <w:tc>
          <w:tcPr>
            <w:tcW w:w="993" w:type="dxa"/>
            <w:tcBorders>
              <w:top w:val="single" w:sz="4" w:space="0" w:color="auto"/>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学院名称</w:t>
            </w:r>
          </w:p>
        </w:tc>
        <w:tc>
          <w:tcPr>
            <w:tcW w:w="835"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层次</w:t>
            </w:r>
          </w:p>
        </w:tc>
        <w:tc>
          <w:tcPr>
            <w:tcW w:w="744"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年级</w:t>
            </w:r>
          </w:p>
        </w:tc>
        <w:tc>
          <w:tcPr>
            <w:tcW w:w="673"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黄色预警人数</w:t>
            </w:r>
          </w:p>
        </w:tc>
        <w:tc>
          <w:tcPr>
            <w:tcW w:w="709"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橙色预警人数</w:t>
            </w:r>
          </w:p>
        </w:tc>
        <w:tc>
          <w:tcPr>
            <w:tcW w:w="709"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红色预警人数</w:t>
            </w:r>
          </w:p>
        </w:tc>
        <w:tc>
          <w:tcPr>
            <w:tcW w:w="850"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各年级被</w:t>
            </w:r>
            <w:proofErr w:type="gramStart"/>
            <w:r w:rsidRPr="00A517A2">
              <w:rPr>
                <w:rFonts w:ascii="宋体" w:hAnsi="宋体" w:cs="宋体" w:hint="eastAsia"/>
                <w:color w:val="000000"/>
                <w:kern w:val="0"/>
                <w:szCs w:val="21"/>
              </w:rPr>
              <w:t>预警总</w:t>
            </w:r>
            <w:proofErr w:type="gramEnd"/>
            <w:r w:rsidRPr="00A517A2">
              <w:rPr>
                <w:rFonts w:ascii="宋体" w:hAnsi="宋体" w:cs="宋体" w:hint="eastAsia"/>
                <w:color w:val="000000"/>
                <w:kern w:val="0"/>
                <w:szCs w:val="21"/>
              </w:rPr>
              <w:t>人数</w:t>
            </w:r>
          </w:p>
        </w:tc>
        <w:tc>
          <w:tcPr>
            <w:tcW w:w="993"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各层次被</w:t>
            </w:r>
            <w:proofErr w:type="gramStart"/>
            <w:r w:rsidRPr="00A517A2">
              <w:rPr>
                <w:rFonts w:ascii="宋体" w:hAnsi="宋体" w:cs="宋体" w:hint="eastAsia"/>
                <w:color w:val="000000"/>
                <w:kern w:val="0"/>
                <w:szCs w:val="21"/>
              </w:rPr>
              <w:t>预警总</w:t>
            </w:r>
            <w:proofErr w:type="gramEnd"/>
            <w:r w:rsidRPr="00A517A2">
              <w:rPr>
                <w:rFonts w:ascii="宋体" w:hAnsi="宋体" w:cs="宋体" w:hint="eastAsia"/>
                <w:color w:val="000000"/>
                <w:kern w:val="0"/>
                <w:szCs w:val="21"/>
              </w:rPr>
              <w:t>人数</w:t>
            </w:r>
          </w:p>
        </w:tc>
        <w:tc>
          <w:tcPr>
            <w:tcW w:w="850"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被预警学生总人数</w:t>
            </w:r>
          </w:p>
        </w:tc>
        <w:tc>
          <w:tcPr>
            <w:tcW w:w="741"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学院总人数</w:t>
            </w:r>
          </w:p>
        </w:tc>
        <w:tc>
          <w:tcPr>
            <w:tcW w:w="1293"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被预警学生总人数占学院总人数百分比</w:t>
            </w:r>
          </w:p>
        </w:tc>
      </w:tr>
      <w:tr w:rsidR="009A01B4" w:rsidRPr="00736926" w:rsidTr="00BF424F">
        <w:trPr>
          <w:trHeight w:val="345"/>
        </w:trPr>
        <w:tc>
          <w:tcPr>
            <w:tcW w:w="993" w:type="dxa"/>
            <w:vMerge w:val="restart"/>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政治与公共管理学院</w:t>
            </w:r>
          </w:p>
        </w:tc>
        <w:tc>
          <w:tcPr>
            <w:tcW w:w="835" w:type="dxa"/>
            <w:vMerge w:val="restart"/>
            <w:tcBorders>
              <w:top w:val="nil"/>
              <w:left w:val="single" w:sz="4" w:space="0" w:color="auto"/>
              <w:bottom w:val="single" w:sz="4" w:space="0" w:color="000000"/>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2012</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850" w:type="dxa"/>
            <w:vMerge w:val="restart"/>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25</w:t>
            </w:r>
          </w:p>
        </w:tc>
        <w:tc>
          <w:tcPr>
            <w:tcW w:w="741"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1195</w:t>
            </w:r>
          </w:p>
        </w:tc>
        <w:tc>
          <w:tcPr>
            <w:tcW w:w="12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2.09%</w:t>
            </w:r>
          </w:p>
        </w:tc>
      </w:tr>
      <w:tr w:rsidR="009A01B4" w:rsidRPr="00736926" w:rsidTr="00BF424F">
        <w:trPr>
          <w:trHeight w:val="345"/>
        </w:trPr>
        <w:tc>
          <w:tcPr>
            <w:tcW w:w="993"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35" w:type="dxa"/>
            <w:vMerge w:val="restart"/>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10</w:t>
            </w:r>
          </w:p>
        </w:tc>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23</w:t>
            </w:r>
          </w:p>
        </w:tc>
        <w:tc>
          <w:tcPr>
            <w:tcW w:w="850"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35"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11</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35"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2015</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lastRenderedPageBreak/>
              <w:t>经济管理学院</w:t>
            </w:r>
          </w:p>
        </w:tc>
        <w:tc>
          <w:tcPr>
            <w:tcW w:w="835" w:type="dxa"/>
            <w:vMerge w:val="restart"/>
            <w:tcBorders>
              <w:top w:val="nil"/>
              <w:left w:val="single" w:sz="4" w:space="0" w:color="auto"/>
              <w:bottom w:val="single" w:sz="4" w:space="0" w:color="000000"/>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2012</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w:t>
            </w:r>
          </w:p>
        </w:tc>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21</w:t>
            </w:r>
          </w:p>
        </w:tc>
        <w:tc>
          <w:tcPr>
            <w:tcW w:w="850"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41</w:t>
            </w:r>
          </w:p>
        </w:tc>
        <w:tc>
          <w:tcPr>
            <w:tcW w:w="741"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2706</w:t>
            </w:r>
          </w:p>
        </w:tc>
        <w:tc>
          <w:tcPr>
            <w:tcW w:w="12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1.52%</w:t>
            </w: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12</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35" w:type="dxa"/>
            <w:vMerge w:val="restart"/>
            <w:tcBorders>
              <w:top w:val="nil"/>
              <w:left w:val="single" w:sz="4" w:space="0" w:color="auto"/>
              <w:bottom w:val="single" w:sz="4" w:space="0" w:color="000000"/>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w:t>
            </w: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9</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18</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val="restart"/>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信息工程学院</w:t>
            </w:r>
          </w:p>
        </w:tc>
        <w:tc>
          <w:tcPr>
            <w:tcW w:w="83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2012</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993" w:type="dxa"/>
            <w:tcBorders>
              <w:top w:val="nil"/>
              <w:left w:val="nil"/>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850" w:type="dxa"/>
            <w:vMerge w:val="restart"/>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14</w:t>
            </w:r>
          </w:p>
        </w:tc>
        <w:tc>
          <w:tcPr>
            <w:tcW w:w="741"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656</w:t>
            </w:r>
          </w:p>
        </w:tc>
        <w:tc>
          <w:tcPr>
            <w:tcW w:w="12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2.13%</w:t>
            </w:r>
          </w:p>
        </w:tc>
      </w:tr>
      <w:tr w:rsidR="009A01B4" w:rsidRPr="00736926" w:rsidTr="00BF424F">
        <w:trPr>
          <w:trHeight w:val="345"/>
        </w:trPr>
        <w:tc>
          <w:tcPr>
            <w:tcW w:w="993"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3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993"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850"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会计学院</w:t>
            </w:r>
          </w:p>
        </w:tc>
        <w:tc>
          <w:tcPr>
            <w:tcW w:w="835" w:type="dxa"/>
            <w:vMerge w:val="restart"/>
            <w:tcBorders>
              <w:top w:val="single" w:sz="4" w:space="0" w:color="auto"/>
              <w:left w:val="single" w:sz="4" w:space="0" w:color="auto"/>
              <w:bottom w:val="single" w:sz="4" w:space="0" w:color="000000"/>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w:t>
            </w:r>
          </w:p>
        </w:tc>
        <w:tc>
          <w:tcPr>
            <w:tcW w:w="744"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2012</w:t>
            </w:r>
          </w:p>
        </w:tc>
        <w:tc>
          <w:tcPr>
            <w:tcW w:w="673"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12</w:t>
            </w:r>
          </w:p>
        </w:tc>
        <w:tc>
          <w:tcPr>
            <w:tcW w:w="709"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16</w:t>
            </w:r>
          </w:p>
        </w:tc>
        <w:tc>
          <w:tcPr>
            <w:tcW w:w="709"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850"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32</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54</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159</w:t>
            </w:r>
          </w:p>
        </w:tc>
        <w:tc>
          <w:tcPr>
            <w:tcW w:w="741"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3468</w:t>
            </w:r>
          </w:p>
        </w:tc>
        <w:tc>
          <w:tcPr>
            <w:tcW w:w="1293"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4.58%</w:t>
            </w: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8</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19</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val="restart"/>
            <w:tcBorders>
              <w:top w:val="nil"/>
              <w:left w:val="single" w:sz="4" w:space="0" w:color="auto"/>
              <w:bottom w:val="single" w:sz="4" w:space="0" w:color="000000"/>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18</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18</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39</w:t>
            </w:r>
          </w:p>
        </w:tc>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105</w:t>
            </w: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24</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39</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66</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文化传播学院</w:t>
            </w:r>
          </w:p>
        </w:tc>
        <w:tc>
          <w:tcPr>
            <w:tcW w:w="835" w:type="dxa"/>
            <w:vMerge w:val="restart"/>
            <w:tcBorders>
              <w:top w:val="nil"/>
              <w:left w:val="single" w:sz="4" w:space="0" w:color="auto"/>
              <w:bottom w:val="nil"/>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2012</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36</w:t>
            </w:r>
          </w:p>
        </w:tc>
        <w:tc>
          <w:tcPr>
            <w:tcW w:w="993" w:type="dxa"/>
            <w:vMerge w:val="restart"/>
            <w:tcBorders>
              <w:top w:val="nil"/>
              <w:left w:val="single" w:sz="4" w:space="0" w:color="auto"/>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63</w:t>
            </w:r>
          </w:p>
        </w:tc>
        <w:tc>
          <w:tcPr>
            <w:tcW w:w="850"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64</w:t>
            </w:r>
          </w:p>
        </w:tc>
        <w:tc>
          <w:tcPr>
            <w:tcW w:w="741"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1008</w:t>
            </w:r>
          </w:p>
        </w:tc>
        <w:tc>
          <w:tcPr>
            <w:tcW w:w="12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6.35%</w:t>
            </w: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14</w:t>
            </w:r>
          </w:p>
        </w:tc>
        <w:tc>
          <w:tcPr>
            <w:tcW w:w="993"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12</w:t>
            </w:r>
          </w:p>
        </w:tc>
        <w:tc>
          <w:tcPr>
            <w:tcW w:w="993"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nil"/>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2015</w:t>
            </w:r>
          </w:p>
        </w:tc>
        <w:tc>
          <w:tcPr>
            <w:tcW w:w="673" w:type="dxa"/>
            <w:tcBorders>
              <w:top w:val="nil"/>
              <w:left w:val="nil"/>
              <w:bottom w:val="nil"/>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nil"/>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nil"/>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993"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left"/>
              <w:rPr>
                <w:rFonts w:ascii="宋体" w:cs="宋体"/>
                <w:color w:val="000000"/>
                <w:kern w:val="0"/>
                <w:szCs w:val="21"/>
              </w:rPr>
            </w:pPr>
            <w:r w:rsidRPr="00A517A2">
              <w:rPr>
                <w:rFonts w:ascii="宋体" w:hAnsi="宋体" w:cs="宋体" w:hint="eastAsia"/>
                <w:color w:val="000000"/>
                <w:kern w:val="0"/>
                <w:szCs w:val="21"/>
              </w:rPr>
              <w:t>专科</w:t>
            </w:r>
          </w:p>
        </w:tc>
        <w:tc>
          <w:tcPr>
            <w:tcW w:w="744"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2015</w:t>
            </w:r>
          </w:p>
        </w:tc>
        <w:tc>
          <w:tcPr>
            <w:tcW w:w="673"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993"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val="restart"/>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外国语学院</w:t>
            </w:r>
          </w:p>
        </w:tc>
        <w:tc>
          <w:tcPr>
            <w:tcW w:w="83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2012</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993" w:type="dxa"/>
            <w:tcBorders>
              <w:top w:val="nil"/>
              <w:left w:val="nil"/>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850" w:type="dxa"/>
            <w:vMerge w:val="restart"/>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16</w:t>
            </w:r>
          </w:p>
        </w:tc>
        <w:tc>
          <w:tcPr>
            <w:tcW w:w="741"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919</w:t>
            </w:r>
          </w:p>
        </w:tc>
        <w:tc>
          <w:tcPr>
            <w:tcW w:w="1293" w:type="dxa"/>
            <w:vMerge w:val="restart"/>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1.74%</w:t>
            </w:r>
          </w:p>
        </w:tc>
      </w:tr>
      <w:tr w:rsidR="009A01B4" w:rsidRPr="00736926" w:rsidTr="00BF424F">
        <w:trPr>
          <w:trHeight w:val="345"/>
        </w:trPr>
        <w:tc>
          <w:tcPr>
            <w:tcW w:w="993"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val="restart"/>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8</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11</w:t>
            </w:r>
          </w:p>
        </w:tc>
        <w:tc>
          <w:tcPr>
            <w:tcW w:w="850"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9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旅游学院</w:t>
            </w:r>
          </w:p>
        </w:tc>
        <w:tc>
          <w:tcPr>
            <w:tcW w:w="835" w:type="dxa"/>
            <w:vMerge w:val="restart"/>
            <w:tcBorders>
              <w:top w:val="nil"/>
              <w:left w:val="single" w:sz="4" w:space="0" w:color="auto"/>
              <w:bottom w:val="single" w:sz="4" w:space="0" w:color="000000"/>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850"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741"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408</w:t>
            </w:r>
          </w:p>
        </w:tc>
        <w:tc>
          <w:tcPr>
            <w:tcW w:w="12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1.23%</w:t>
            </w:r>
          </w:p>
        </w:tc>
      </w:tr>
      <w:tr w:rsidR="009A01B4" w:rsidRPr="00736926" w:rsidTr="00BF424F">
        <w:trPr>
          <w:trHeight w:val="345"/>
        </w:trPr>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val="restart"/>
            <w:tcBorders>
              <w:top w:val="nil"/>
              <w:left w:val="single" w:sz="4" w:space="0" w:color="auto"/>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舞蹈学院</w:t>
            </w:r>
          </w:p>
        </w:tc>
        <w:tc>
          <w:tcPr>
            <w:tcW w:w="835" w:type="dxa"/>
            <w:vMerge w:val="restart"/>
            <w:tcBorders>
              <w:top w:val="nil"/>
              <w:left w:val="single" w:sz="4" w:space="0" w:color="auto"/>
              <w:bottom w:val="single" w:sz="4" w:space="0" w:color="000000"/>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w:t>
            </w:r>
          </w:p>
        </w:tc>
        <w:tc>
          <w:tcPr>
            <w:tcW w:w="850" w:type="dxa"/>
            <w:vMerge w:val="restart"/>
            <w:tcBorders>
              <w:top w:val="nil"/>
              <w:left w:val="single" w:sz="4" w:space="0" w:color="auto"/>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741" w:type="dxa"/>
            <w:vMerge w:val="restart"/>
            <w:tcBorders>
              <w:top w:val="nil"/>
              <w:left w:val="single" w:sz="4" w:space="0" w:color="auto"/>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672</w:t>
            </w:r>
          </w:p>
        </w:tc>
        <w:tc>
          <w:tcPr>
            <w:tcW w:w="1293" w:type="dxa"/>
            <w:vMerge w:val="restart"/>
            <w:tcBorders>
              <w:top w:val="nil"/>
              <w:left w:val="single" w:sz="4" w:space="0" w:color="auto"/>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1.04%</w:t>
            </w:r>
          </w:p>
        </w:tc>
      </w:tr>
      <w:tr w:rsidR="009A01B4" w:rsidRPr="00736926" w:rsidTr="00BF424F">
        <w:trPr>
          <w:trHeight w:val="345"/>
        </w:trPr>
        <w:tc>
          <w:tcPr>
            <w:tcW w:w="993" w:type="dxa"/>
            <w:vMerge/>
            <w:tcBorders>
              <w:top w:val="nil"/>
              <w:left w:val="single" w:sz="4" w:space="0" w:color="auto"/>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2015</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nil"/>
              <w:left w:val="single" w:sz="4" w:space="0" w:color="auto"/>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tcBorders>
              <w:top w:val="nil"/>
              <w:left w:val="nil"/>
              <w:bottom w:val="nil"/>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993" w:type="dxa"/>
            <w:tcBorders>
              <w:top w:val="nil"/>
              <w:left w:val="nil"/>
              <w:bottom w:val="nil"/>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50"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nil"/>
              <w:left w:val="single" w:sz="4" w:space="0" w:color="auto"/>
              <w:bottom w:val="nil"/>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设计艺术学院</w:t>
            </w:r>
          </w:p>
        </w:tc>
        <w:tc>
          <w:tcPr>
            <w:tcW w:w="835" w:type="dxa"/>
            <w:vMerge w:val="restart"/>
            <w:tcBorders>
              <w:top w:val="single" w:sz="4" w:space="0" w:color="auto"/>
              <w:left w:val="single" w:sz="4" w:space="0" w:color="auto"/>
              <w:bottom w:val="single" w:sz="4" w:space="0" w:color="000000"/>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2012</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19</w:t>
            </w:r>
          </w:p>
        </w:tc>
        <w:tc>
          <w:tcPr>
            <w:tcW w:w="850"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44</w:t>
            </w:r>
          </w:p>
        </w:tc>
        <w:tc>
          <w:tcPr>
            <w:tcW w:w="741"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1249</w:t>
            </w:r>
          </w:p>
        </w:tc>
        <w:tc>
          <w:tcPr>
            <w:tcW w:w="1293" w:type="dxa"/>
            <w:vMerge w:val="restart"/>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3.52%</w:t>
            </w:r>
          </w:p>
        </w:tc>
      </w:tr>
      <w:tr w:rsidR="009A01B4" w:rsidRPr="00736926" w:rsidTr="00BF424F">
        <w:trPr>
          <w:trHeight w:val="345"/>
        </w:trPr>
        <w:tc>
          <w:tcPr>
            <w:tcW w:w="9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11</w:t>
            </w:r>
          </w:p>
        </w:tc>
        <w:tc>
          <w:tcPr>
            <w:tcW w:w="9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w:t>
            </w:r>
          </w:p>
        </w:tc>
        <w:tc>
          <w:tcPr>
            <w:tcW w:w="9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val="restart"/>
            <w:tcBorders>
              <w:top w:val="nil"/>
              <w:left w:val="single" w:sz="4" w:space="0" w:color="auto"/>
              <w:bottom w:val="single" w:sz="4" w:space="0" w:color="000000"/>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2013</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993" w:type="dxa"/>
            <w:vMerge w:val="restart"/>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25</w:t>
            </w:r>
          </w:p>
        </w:tc>
        <w:tc>
          <w:tcPr>
            <w:tcW w:w="850"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center"/>
              <w:rPr>
                <w:rFonts w:ascii="宋体" w:cs="宋体"/>
                <w:color w:val="000000"/>
                <w:kern w:val="0"/>
                <w:szCs w:val="21"/>
              </w:rPr>
            </w:pPr>
          </w:p>
        </w:tc>
        <w:tc>
          <w:tcPr>
            <w:tcW w:w="835"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2014</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8</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18</w:t>
            </w:r>
          </w:p>
        </w:tc>
        <w:tc>
          <w:tcPr>
            <w:tcW w:w="993" w:type="dxa"/>
            <w:vMerge/>
            <w:tcBorders>
              <w:top w:val="nil"/>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741"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c>
          <w:tcPr>
            <w:tcW w:w="1293" w:type="dxa"/>
            <w:vMerge/>
            <w:tcBorders>
              <w:top w:val="single" w:sz="4" w:space="0" w:color="auto"/>
              <w:left w:val="single" w:sz="4" w:space="0" w:color="auto"/>
              <w:bottom w:val="single" w:sz="4" w:space="0" w:color="000000"/>
              <w:right w:val="single" w:sz="4" w:space="0" w:color="auto"/>
            </w:tcBorders>
            <w:vAlign w:val="center"/>
          </w:tcPr>
          <w:p w:rsidR="009A01B4" w:rsidRPr="00A517A2" w:rsidRDefault="009A01B4" w:rsidP="00CA2179">
            <w:pPr>
              <w:widowControl/>
              <w:jc w:val="left"/>
              <w:rPr>
                <w:rFonts w:ascii="宋体" w:cs="宋体"/>
                <w:color w:val="000000"/>
                <w:kern w:val="0"/>
                <w:szCs w:val="21"/>
              </w:rPr>
            </w:pPr>
          </w:p>
        </w:tc>
      </w:tr>
      <w:tr w:rsidR="009A01B4" w:rsidRPr="00736926" w:rsidTr="00BF424F">
        <w:trPr>
          <w:trHeight w:val="345"/>
        </w:trPr>
        <w:tc>
          <w:tcPr>
            <w:tcW w:w="993" w:type="dxa"/>
            <w:tcBorders>
              <w:top w:val="nil"/>
              <w:left w:val="single" w:sz="4" w:space="0" w:color="auto"/>
              <w:bottom w:val="single" w:sz="4" w:space="0" w:color="auto"/>
              <w:right w:val="single" w:sz="4" w:space="0" w:color="auto"/>
            </w:tcBorders>
            <w:vAlign w:val="center"/>
          </w:tcPr>
          <w:p w:rsidR="009A01B4" w:rsidRPr="00A517A2" w:rsidRDefault="009A01B4" w:rsidP="00BF424F">
            <w:pPr>
              <w:widowControl/>
              <w:jc w:val="center"/>
              <w:rPr>
                <w:rFonts w:ascii="宋体" w:cs="宋体"/>
                <w:color w:val="000000"/>
                <w:kern w:val="0"/>
                <w:szCs w:val="21"/>
              </w:rPr>
            </w:pPr>
            <w:r w:rsidRPr="00A517A2">
              <w:rPr>
                <w:rFonts w:ascii="宋体" w:hAnsi="宋体" w:cs="宋体" w:hint="eastAsia"/>
                <w:color w:val="000000"/>
                <w:kern w:val="0"/>
                <w:szCs w:val="21"/>
              </w:rPr>
              <w:t>全校</w:t>
            </w:r>
          </w:p>
        </w:tc>
        <w:tc>
          <w:tcPr>
            <w:tcW w:w="83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 xml:space="preserve">　</w:t>
            </w:r>
          </w:p>
        </w:tc>
        <w:tc>
          <w:tcPr>
            <w:tcW w:w="744"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 xml:space="preserve">　</w:t>
            </w:r>
          </w:p>
        </w:tc>
        <w:tc>
          <w:tcPr>
            <w:tcW w:w="67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148</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156</w:t>
            </w:r>
          </w:p>
        </w:tc>
        <w:tc>
          <w:tcPr>
            <w:tcW w:w="70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71</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375</w:t>
            </w:r>
          </w:p>
        </w:tc>
        <w:tc>
          <w:tcPr>
            <w:tcW w:w="993"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375</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375</w:t>
            </w:r>
          </w:p>
        </w:tc>
        <w:tc>
          <w:tcPr>
            <w:tcW w:w="741"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12281</w:t>
            </w:r>
          </w:p>
        </w:tc>
        <w:tc>
          <w:tcPr>
            <w:tcW w:w="1293"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3.05%</w:t>
            </w:r>
          </w:p>
        </w:tc>
      </w:tr>
    </w:tbl>
    <w:p w:rsidR="009A01B4" w:rsidRDefault="009A01B4" w:rsidP="00CA2179">
      <w:pPr>
        <w:autoSpaceDE w:val="0"/>
        <w:autoSpaceDN w:val="0"/>
        <w:adjustRightInd w:val="0"/>
        <w:spacing w:line="360" w:lineRule="auto"/>
        <w:rPr>
          <w:rFonts w:ascii="宋体" w:cs="宋体"/>
          <w:kern w:val="0"/>
          <w:sz w:val="24"/>
          <w:lang w:val="zh-CN"/>
        </w:rPr>
      </w:pPr>
    </w:p>
    <w:p w:rsidR="009A01B4" w:rsidRDefault="00577C92" w:rsidP="00CA2179">
      <w:pPr>
        <w:autoSpaceDE w:val="0"/>
        <w:autoSpaceDN w:val="0"/>
        <w:adjustRightInd w:val="0"/>
        <w:spacing w:line="360" w:lineRule="auto"/>
        <w:rPr>
          <w:rFonts w:ascii="宋体" w:cs="宋体"/>
          <w:kern w:val="0"/>
          <w:sz w:val="24"/>
          <w:lang w:val="zh-CN"/>
        </w:rPr>
      </w:pPr>
      <w:r>
        <w:rPr>
          <w:rFonts w:ascii="宋体" w:cs="宋体"/>
          <w:noProof/>
          <w:kern w:val="0"/>
          <w:sz w:val="24"/>
        </w:rPr>
        <w:lastRenderedPageBreak/>
        <w:pict>
          <v:shape id="图片 7" o:spid="_x0000_i1031" type="#_x0000_t75" style="width:434.25pt;height:156pt;visibility:visible">
            <v:imagedata r:id="rId16" o:title=""/>
          </v:shape>
        </w:pict>
      </w:r>
    </w:p>
    <w:p w:rsidR="009A01B4" w:rsidRPr="00A517A2" w:rsidRDefault="009A01B4" w:rsidP="00CA2179">
      <w:pPr>
        <w:autoSpaceDE w:val="0"/>
        <w:autoSpaceDN w:val="0"/>
        <w:adjustRightInd w:val="0"/>
        <w:spacing w:line="360" w:lineRule="auto"/>
        <w:ind w:firstLine="480"/>
        <w:jc w:val="center"/>
        <w:rPr>
          <w:rFonts w:ascii="宋体" w:cs="宋体"/>
          <w:kern w:val="0"/>
          <w:sz w:val="24"/>
          <w:lang w:val="zh-CN"/>
        </w:rPr>
      </w:pPr>
      <w:r w:rsidRPr="00A517A2">
        <w:rPr>
          <w:rFonts w:ascii="宋体" w:cs="宋体" w:hint="eastAsia"/>
          <w:kern w:val="0"/>
          <w:sz w:val="24"/>
          <w:lang w:val="zh-CN"/>
        </w:rPr>
        <w:t>图</w:t>
      </w:r>
      <w:r w:rsidRPr="00A517A2">
        <w:rPr>
          <w:rFonts w:ascii="宋体" w:cs="宋体"/>
          <w:kern w:val="0"/>
          <w:sz w:val="24"/>
          <w:lang w:val="zh-CN"/>
        </w:rPr>
        <w:t xml:space="preserve">1  </w:t>
      </w:r>
      <w:r>
        <w:rPr>
          <w:rFonts w:ascii="宋体" w:cs="宋体" w:hint="eastAsia"/>
          <w:kern w:val="0"/>
          <w:sz w:val="24"/>
          <w:lang w:val="zh-CN"/>
        </w:rPr>
        <w:t>被预警学生总数占学院总人数比例图</w:t>
      </w:r>
    </w:p>
    <w:p w:rsidR="009A01B4" w:rsidRPr="00034F24"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034F24">
        <w:rPr>
          <w:rFonts w:ascii="仿宋" w:eastAsia="仿宋" w:hAnsi="仿宋" w:cs="Calibri" w:hint="eastAsia"/>
          <w:kern w:val="0"/>
          <w:sz w:val="28"/>
          <w:szCs w:val="28"/>
        </w:rPr>
        <w:t>（二）不同教育层次被预警学生情况</w:t>
      </w:r>
    </w:p>
    <w:p w:rsidR="009A01B4" w:rsidRPr="00034F24"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034F24">
        <w:rPr>
          <w:rFonts w:ascii="仿宋" w:eastAsia="仿宋" w:hAnsi="仿宋" w:cs="Calibri" w:hint="eastAsia"/>
          <w:kern w:val="0"/>
          <w:sz w:val="28"/>
          <w:szCs w:val="28"/>
        </w:rPr>
        <w:t>全部被预警学生中，本科生</w:t>
      </w:r>
      <w:r w:rsidRPr="00034F24">
        <w:rPr>
          <w:rFonts w:ascii="仿宋" w:eastAsia="仿宋" w:hAnsi="仿宋" w:cs="Calibri"/>
          <w:kern w:val="0"/>
          <w:sz w:val="28"/>
          <w:szCs w:val="28"/>
        </w:rPr>
        <w:t>177</w:t>
      </w:r>
      <w:r w:rsidRPr="00034F24">
        <w:rPr>
          <w:rFonts w:ascii="仿宋" w:eastAsia="仿宋" w:hAnsi="仿宋" w:cs="Calibri" w:hint="eastAsia"/>
          <w:kern w:val="0"/>
          <w:sz w:val="28"/>
          <w:szCs w:val="28"/>
        </w:rPr>
        <w:t>人，占本科生学生总数的</w:t>
      </w:r>
      <w:r w:rsidRPr="00034F24">
        <w:rPr>
          <w:rFonts w:ascii="仿宋" w:eastAsia="仿宋" w:hAnsi="仿宋" w:cs="Calibri"/>
          <w:kern w:val="0"/>
          <w:sz w:val="28"/>
          <w:szCs w:val="28"/>
        </w:rPr>
        <w:t>3.05%</w:t>
      </w:r>
      <w:r w:rsidRPr="00034F24">
        <w:rPr>
          <w:rFonts w:ascii="仿宋" w:eastAsia="仿宋" w:hAnsi="仿宋" w:cs="Calibri" w:hint="eastAsia"/>
          <w:kern w:val="0"/>
          <w:sz w:val="28"/>
          <w:szCs w:val="28"/>
        </w:rPr>
        <w:t>；专科生</w:t>
      </w:r>
      <w:r w:rsidRPr="00034F24">
        <w:rPr>
          <w:rFonts w:ascii="仿宋" w:eastAsia="仿宋" w:hAnsi="仿宋" w:cs="Calibri"/>
          <w:kern w:val="0"/>
          <w:sz w:val="28"/>
          <w:szCs w:val="28"/>
        </w:rPr>
        <w:t>198</w:t>
      </w:r>
      <w:r w:rsidRPr="00034F24">
        <w:rPr>
          <w:rFonts w:ascii="仿宋" w:eastAsia="仿宋" w:hAnsi="仿宋" w:cs="Calibri" w:hint="eastAsia"/>
          <w:kern w:val="0"/>
          <w:sz w:val="28"/>
          <w:szCs w:val="28"/>
        </w:rPr>
        <w:t>人，占专科生学生总数的</w:t>
      </w:r>
      <w:r w:rsidRPr="00034F24">
        <w:rPr>
          <w:rFonts w:ascii="仿宋" w:eastAsia="仿宋" w:hAnsi="仿宋" w:cs="Calibri"/>
          <w:kern w:val="0"/>
          <w:sz w:val="28"/>
          <w:szCs w:val="28"/>
        </w:rPr>
        <w:t>3.06%</w:t>
      </w:r>
      <w:r w:rsidRPr="00034F24">
        <w:rPr>
          <w:rFonts w:ascii="仿宋" w:eastAsia="仿宋" w:hAnsi="仿宋" w:cs="Calibri" w:hint="eastAsia"/>
          <w:kern w:val="0"/>
          <w:sz w:val="28"/>
          <w:szCs w:val="28"/>
        </w:rPr>
        <w:t>。各学院本、专科达到预警条件的学生及其比例具体情况见表</w:t>
      </w:r>
      <w:r w:rsidRPr="00034F24">
        <w:rPr>
          <w:rFonts w:ascii="仿宋" w:eastAsia="仿宋" w:hAnsi="仿宋" w:cs="Calibri"/>
          <w:kern w:val="0"/>
          <w:sz w:val="28"/>
          <w:szCs w:val="28"/>
        </w:rPr>
        <w:t>2</w:t>
      </w:r>
      <w:r w:rsidRPr="00034F24">
        <w:rPr>
          <w:rFonts w:ascii="仿宋" w:eastAsia="仿宋" w:hAnsi="仿宋" w:cs="Calibri" w:hint="eastAsia"/>
          <w:kern w:val="0"/>
          <w:sz w:val="28"/>
          <w:szCs w:val="28"/>
        </w:rPr>
        <w:t>和图</w:t>
      </w:r>
      <w:r w:rsidRPr="00034F24">
        <w:rPr>
          <w:rFonts w:ascii="仿宋" w:eastAsia="仿宋" w:hAnsi="仿宋" w:cs="Calibri"/>
          <w:kern w:val="0"/>
          <w:sz w:val="28"/>
          <w:szCs w:val="28"/>
        </w:rPr>
        <w:t>2</w:t>
      </w:r>
      <w:r w:rsidRPr="00034F24">
        <w:rPr>
          <w:rFonts w:ascii="仿宋" w:eastAsia="仿宋" w:hAnsi="仿宋" w:cs="Calibri" w:hint="eastAsia"/>
          <w:kern w:val="0"/>
          <w:sz w:val="28"/>
          <w:szCs w:val="28"/>
        </w:rPr>
        <w:t>。在达到预警条件的本科生中，文化传播学院和会计学院被预警的学生人数占学院本科生总数的比例偏高，均超过</w:t>
      </w:r>
      <w:r w:rsidRPr="00034F24">
        <w:rPr>
          <w:rFonts w:ascii="仿宋" w:eastAsia="仿宋" w:hAnsi="仿宋" w:cs="Calibri"/>
          <w:kern w:val="0"/>
          <w:sz w:val="28"/>
          <w:szCs w:val="28"/>
        </w:rPr>
        <w:t>5.00%</w:t>
      </w:r>
      <w:r w:rsidRPr="00034F24">
        <w:rPr>
          <w:rFonts w:ascii="仿宋" w:eastAsia="仿宋" w:hAnsi="仿宋" w:cs="Calibri" w:hint="eastAsia"/>
          <w:kern w:val="0"/>
          <w:sz w:val="28"/>
          <w:szCs w:val="28"/>
        </w:rPr>
        <w:t>；政治与公共管理学院被预警的学生人数占学院本科生总数的比例低于</w:t>
      </w:r>
      <w:r w:rsidRPr="00034F24">
        <w:rPr>
          <w:rFonts w:ascii="仿宋" w:eastAsia="仿宋" w:hAnsi="仿宋" w:cs="Calibri"/>
          <w:kern w:val="0"/>
          <w:sz w:val="28"/>
          <w:szCs w:val="28"/>
        </w:rPr>
        <w:t>1.00%</w:t>
      </w:r>
      <w:r w:rsidRPr="00034F24">
        <w:rPr>
          <w:rFonts w:ascii="仿宋" w:eastAsia="仿宋" w:hAnsi="仿宋" w:cs="Calibri" w:hint="eastAsia"/>
          <w:kern w:val="0"/>
          <w:sz w:val="28"/>
          <w:szCs w:val="28"/>
        </w:rPr>
        <w:t>；旅游学院本科生无被预警者。在达到预警条件的专科生中，设计艺术学院、信息工程学院及政治与公共管理学院被预警者占学院专科生总数的比例偏高，均高于</w:t>
      </w:r>
      <w:r w:rsidRPr="00034F24">
        <w:rPr>
          <w:rFonts w:ascii="仿宋" w:eastAsia="仿宋" w:hAnsi="仿宋" w:cs="Calibri"/>
          <w:kern w:val="0"/>
          <w:sz w:val="28"/>
          <w:szCs w:val="28"/>
        </w:rPr>
        <w:t>3.70%</w:t>
      </w:r>
      <w:r w:rsidRPr="00034F24">
        <w:rPr>
          <w:rFonts w:ascii="仿宋" w:eastAsia="仿宋" w:hAnsi="仿宋" w:cs="Calibri" w:hint="eastAsia"/>
          <w:kern w:val="0"/>
          <w:sz w:val="28"/>
          <w:szCs w:val="28"/>
        </w:rPr>
        <w:t>；文化传播学院及舞蹈学院被预警的学生人数占学院专科生总数的比例低于</w:t>
      </w:r>
      <w:r w:rsidRPr="00034F24">
        <w:rPr>
          <w:rFonts w:ascii="仿宋" w:eastAsia="仿宋" w:hAnsi="仿宋" w:cs="Calibri"/>
          <w:kern w:val="0"/>
          <w:sz w:val="28"/>
          <w:szCs w:val="28"/>
        </w:rPr>
        <w:t>1.00%</w:t>
      </w:r>
      <w:r w:rsidRPr="00034F24">
        <w:rPr>
          <w:rFonts w:ascii="仿宋" w:eastAsia="仿宋" w:hAnsi="仿宋" w:cs="Calibri" w:hint="eastAsia"/>
          <w:kern w:val="0"/>
          <w:sz w:val="28"/>
          <w:szCs w:val="28"/>
        </w:rPr>
        <w:t>。</w:t>
      </w:r>
    </w:p>
    <w:tbl>
      <w:tblPr>
        <w:tblW w:w="8753" w:type="dxa"/>
        <w:tblInd w:w="93" w:type="dxa"/>
        <w:tblLook w:val="00A0" w:firstRow="1" w:lastRow="0" w:firstColumn="1" w:lastColumn="0" w:noHBand="0" w:noVBand="0"/>
      </w:tblPr>
      <w:tblGrid>
        <w:gridCol w:w="1592"/>
        <w:gridCol w:w="1146"/>
        <w:gridCol w:w="859"/>
        <w:gridCol w:w="1575"/>
        <w:gridCol w:w="1146"/>
        <w:gridCol w:w="860"/>
        <w:gridCol w:w="1575"/>
      </w:tblGrid>
      <w:tr w:rsidR="009A01B4" w:rsidRPr="00A517A2" w:rsidTr="00CA2179">
        <w:trPr>
          <w:trHeight w:val="820"/>
        </w:trPr>
        <w:tc>
          <w:tcPr>
            <w:tcW w:w="8753" w:type="dxa"/>
            <w:gridSpan w:val="7"/>
            <w:tcBorders>
              <w:top w:val="nil"/>
              <w:left w:val="nil"/>
              <w:bottom w:val="nil"/>
              <w:right w:val="nil"/>
            </w:tcBorders>
            <w:noWrap/>
            <w:vAlign w:val="center"/>
          </w:tcPr>
          <w:p w:rsidR="009A01B4" w:rsidRPr="00A517A2" w:rsidRDefault="009A01B4" w:rsidP="00CA2179">
            <w:pPr>
              <w:widowControl/>
              <w:jc w:val="center"/>
              <w:rPr>
                <w:rFonts w:ascii="宋体" w:cs="宋体"/>
                <w:color w:val="000000"/>
                <w:kern w:val="0"/>
                <w:sz w:val="24"/>
              </w:rPr>
            </w:pPr>
            <w:r w:rsidRPr="00A517A2">
              <w:rPr>
                <w:rFonts w:ascii="宋体" w:hAnsi="宋体" w:cs="宋体" w:hint="eastAsia"/>
                <w:color w:val="000000"/>
                <w:kern w:val="0"/>
                <w:sz w:val="24"/>
              </w:rPr>
              <w:t>表</w:t>
            </w:r>
            <w:r w:rsidRPr="00A517A2">
              <w:rPr>
                <w:rFonts w:ascii="宋体" w:hAnsi="宋体" w:cs="宋体"/>
                <w:color w:val="000000"/>
                <w:kern w:val="0"/>
                <w:sz w:val="24"/>
              </w:rPr>
              <w:t>2  2015-2016</w:t>
            </w:r>
            <w:r w:rsidRPr="00A517A2">
              <w:rPr>
                <w:rFonts w:ascii="宋体" w:hAnsi="宋体" w:cs="宋体" w:hint="eastAsia"/>
                <w:color w:val="000000"/>
                <w:kern w:val="0"/>
                <w:sz w:val="24"/>
              </w:rPr>
              <w:t>学年第二学期学生学业预警信息统计表（按层次统计）</w:t>
            </w:r>
          </w:p>
        </w:tc>
      </w:tr>
      <w:tr w:rsidR="009A01B4" w:rsidRPr="007C2DE9" w:rsidTr="00CA2179">
        <w:trPr>
          <w:trHeight w:val="974"/>
        </w:trPr>
        <w:tc>
          <w:tcPr>
            <w:tcW w:w="1592" w:type="dxa"/>
            <w:tcBorders>
              <w:top w:val="single" w:sz="4" w:space="0" w:color="auto"/>
              <w:left w:val="single" w:sz="4" w:space="0" w:color="auto"/>
              <w:bottom w:val="single" w:sz="4" w:space="0" w:color="auto"/>
              <w:right w:val="single" w:sz="4" w:space="0" w:color="auto"/>
            </w:tcBorders>
            <w:vAlign w:val="center"/>
          </w:tcPr>
          <w:p w:rsidR="009A01B4" w:rsidRPr="00A517A2" w:rsidRDefault="009A01B4" w:rsidP="009A726B">
            <w:pPr>
              <w:widowControl/>
              <w:jc w:val="center"/>
              <w:rPr>
                <w:rFonts w:ascii="宋体" w:cs="宋体"/>
                <w:szCs w:val="21"/>
              </w:rPr>
            </w:pPr>
            <w:r w:rsidRPr="00A517A2">
              <w:rPr>
                <w:rFonts w:ascii="宋体" w:hAnsi="宋体" w:cs="宋体" w:hint="eastAsia"/>
                <w:color w:val="000000"/>
                <w:kern w:val="0"/>
                <w:szCs w:val="21"/>
              </w:rPr>
              <w:t>学院名称</w:t>
            </w:r>
          </w:p>
        </w:tc>
        <w:tc>
          <w:tcPr>
            <w:tcW w:w="1146"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本科被预警学生数</w:t>
            </w:r>
          </w:p>
        </w:tc>
        <w:tc>
          <w:tcPr>
            <w:tcW w:w="859"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本科生总数</w:t>
            </w:r>
          </w:p>
        </w:tc>
        <w:tc>
          <w:tcPr>
            <w:tcW w:w="1575"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hint="eastAsia"/>
                <w:kern w:val="0"/>
                <w:szCs w:val="21"/>
              </w:rPr>
              <w:t>本科被预警学生数占本科生总数百分比</w:t>
            </w:r>
          </w:p>
        </w:tc>
        <w:tc>
          <w:tcPr>
            <w:tcW w:w="1146"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专科被预警学生数</w:t>
            </w:r>
          </w:p>
        </w:tc>
        <w:tc>
          <w:tcPr>
            <w:tcW w:w="860"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专科生总数</w:t>
            </w:r>
          </w:p>
        </w:tc>
        <w:tc>
          <w:tcPr>
            <w:tcW w:w="1575"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hint="eastAsia"/>
                <w:kern w:val="0"/>
                <w:szCs w:val="21"/>
              </w:rPr>
              <w:t>专科被预警学生数占专科生总数百分比</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政治与公共管理学院</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579</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0.35%</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23</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616</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3.73%</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经济管理学院</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21</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1334</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1.57%</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1372</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1.46%</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信息工程学院</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473</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1.48%</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183</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3.83%</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会计学院</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54</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915</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5.90%</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105</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2553</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4.11%</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lastRenderedPageBreak/>
              <w:t>文化传播学院</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63</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891</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7.07%</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117</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0.85%</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外国语学院</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399</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1.25%</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11</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520</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2.12%</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旅游学院</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187</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221</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2.26%</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舞蹈学院</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410</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1.46%</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262</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0.38%</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设计艺术学院</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19</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615</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3.09%</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25</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634</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3.94%</w:t>
            </w:r>
          </w:p>
        </w:tc>
      </w:tr>
      <w:tr w:rsidR="009A01B4" w:rsidRPr="007C2DE9" w:rsidTr="00CA2179">
        <w:trPr>
          <w:trHeight w:val="535"/>
        </w:trPr>
        <w:tc>
          <w:tcPr>
            <w:tcW w:w="1592"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Pr>
                <w:rFonts w:ascii="宋体" w:hAnsi="宋体" w:cs="宋体" w:hint="eastAsia"/>
                <w:color w:val="000000"/>
                <w:kern w:val="0"/>
                <w:szCs w:val="21"/>
              </w:rPr>
              <w:t>全校</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177</w:t>
            </w:r>
          </w:p>
        </w:tc>
        <w:tc>
          <w:tcPr>
            <w:tcW w:w="85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5803</w:t>
            </w:r>
          </w:p>
        </w:tc>
        <w:tc>
          <w:tcPr>
            <w:tcW w:w="1575"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3.05%</w:t>
            </w:r>
          </w:p>
        </w:tc>
        <w:tc>
          <w:tcPr>
            <w:tcW w:w="1146"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198</w:t>
            </w:r>
          </w:p>
        </w:tc>
        <w:tc>
          <w:tcPr>
            <w:tcW w:w="86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6478</w:t>
            </w:r>
          </w:p>
        </w:tc>
        <w:tc>
          <w:tcPr>
            <w:tcW w:w="157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3.06%</w:t>
            </w:r>
          </w:p>
        </w:tc>
      </w:tr>
    </w:tbl>
    <w:p w:rsidR="009A01B4" w:rsidRDefault="009A01B4" w:rsidP="00CA2179">
      <w:pPr>
        <w:autoSpaceDE w:val="0"/>
        <w:autoSpaceDN w:val="0"/>
        <w:adjustRightInd w:val="0"/>
        <w:spacing w:line="360" w:lineRule="auto"/>
        <w:jc w:val="center"/>
        <w:rPr>
          <w:rFonts w:cs="Calibri"/>
          <w:noProof/>
          <w:kern w:val="0"/>
          <w:sz w:val="24"/>
        </w:rPr>
      </w:pPr>
    </w:p>
    <w:p w:rsidR="009A01B4" w:rsidRDefault="00577C92" w:rsidP="00CA2179">
      <w:pPr>
        <w:autoSpaceDE w:val="0"/>
        <w:autoSpaceDN w:val="0"/>
        <w:adjustRightInd w:val="0"/>
        <w:spacing w:line="360" w:lineRule="auto"/>
        <w:jc w:val="center"/>
        <w:rPr>
          <w:rFonts w:cs="Calibri"/>
          <w:kern w:val="0"/>
          <w:sz w:val="24"/>
        </w:rPr>
      </w:pPr>
      <w:r>
        <w:rPr>
          <w:rFonts w:cs="Calibri"/>
          <w:noProof/>
          <w:kern w:val="0"/>
          <w:sz w:val="24"/>
        </w:rPr>
        <w:pict>
          <v:shape id="图片 8" o:spid="_x0000_i1032" type="#_x0000_t75" style="width:434.25pt;height:199.5pt;visibility:visible">
            <v:imagedata r:id="rId17" o:title=""/>
          </v:shape>
        </w:pict>
      </w:r>
    </w:p>
    <w:p w:rsidR="009A01B4" w:rsidRPr="00A517A2" w:rsidRDefault="009A01B4" w:rsidP="00CA2179">
      <w:pPr>
        <w:autoSpaceDE w:val="0"/>
        <w:autoSpaceDN w:val="0"/>
        <w:adjustRightInd w:val="0"/>
        <w:spacing w:line="360" w:lineRule="auto"/>
        <w:ind w:firstLine="480"/>
        <w:jc w:val="center"/>
        <w:rPr>
          <w:rFonts w:ascii="宋体" w:cs="Calibri"/>
          <w:kern w:val="0"/>
          <w:sz w:val="24"/>
        </w:rPr>
      </w:pPr>
      <w:r w:rsidRPr="00A517A2">
        <w:rPr>
          <w:rFonts w:ascii="宋体" w:hAnsi="宋体" w:cs="宋体" w:hint="eastAsia"/>
          <w:kern w:val="0"/>
          <w:sz w:val="24"/>
          <w:lang w:val="zh-CN"/>
        </w:rPr>
        <w:t>图</w:t>
      </w:r>
      <w:r w:rsidRPr="00A517A2">
        <w:rPr>
          <w:rFonts w:ascii="宋体" w:hAnsi="宋体" w:cs="Calibri"/>
          <w:kern w:val="0"/>
          <w:sz w:val="24"/>
        </w:rPr>
        <w:t>2</w:t>
      </w:r>
      <w:r>
        <w:rPr>
          <w:rFonts w:ascii="宋体" w:hAnsi="宋体" w:cs="Calibri"/>
          <w:kern w:val="0"/>
          <w:sz w:val="24"/>
        </w:rPr>
        <w:t xml:space="preserve">  </w:t>
      </w:r>
      <w:r>
        <w:rPr>
          <w:rFonts w:ascii="宋体" w:hAnsi="宋体" w:cs="Calibri" w:hint="eastAsia"/>
          <w:kern w:val="0"/>
          <w:sz w:val="24"/>
        </w:rPr>
        <w:t>各学院本、专科被预警人数占学院本、专科总人数比例图</w:t>
      </w:r>
    </w:p>
    <w:p w:rsidR="009A01B4" w:rsidRPr="00034F24"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034F24">
        <w:rPr>
          <w:rFonts w:ascii="仿宋" w:eastAsia="仿宋" w:hAnsi="仿宋" w:cs="Calibri"/>
          <w:kern w:val="0"/>
          <w:sz w:val="28"/>
          <w:szCs w:val="28"/>
        </w:rPr>
        <w:t>(</w:t>
      </w:r>
      <w:r w:rsidRPr="00034F24">
        <w:rPr>
          <w:rFonts w:ascii="仿宋" w:eastAsia="仿宋" w:hAnsi="仿宋" w:cs="Calibri" w:hint="eastAsia"/>
          <w:kern w:val="0"/>
          <w:sz w:val="28"/>
          <w:szCs w:val="28"/>
        </w:rPr>
        <w:t>三</w:t>
      </w:r>
      <w:r w:rsidRPr="00034F24">
        <w:rPr>
          <w:rFonts w:ascii="仿宋" w:eastAsia="仿宋" w:hAnsi="仿宋" w:cs="Calibri"/>
          <w:kern w:val="0"/>
          <w:sz w:val="28"/>
          <w:szCs w:val="28"/>
        </w:rPr>
        <w:t>)</w:t>
      </w:r>
      <w:proofErr w:type="gramStart"/>
      <w:r w:rsidRPr="00034F24">
        <w:rPr>
          <w:rFonts w:ascii="仿宋" w:eastAsia="仿宋" w:hAnsi="仿宋" w:cs="Calibri" w:hint="eastAsia"/>
          <w:kern w:val="0"/>
          <w:sz w:val="28"/>
          <w:szCs w:val="28"/>
        </w:rPr>
        <w:t>不</w:t>
      </w:r>
      <w:proofErr w:type="gramEnd"/>
      <w:r w:rsidRPr="00034F24">
        <w:rPr>
          <w:rFonts w:ascii="仿宋" w:eastAsia="仿宋" w:hAnsi="仿宋" w:cs="Calibri" w:hint="eastAsia"/>
          <w:kern w:val="0"/>
          <w:sz w:val="28"/>
          <w:szCs w:val="28"/>
        </w:rPr>
        <w:t>同年级达到学业预警条件的学生分布情况</w:t>
      </w:r>
    </w:p>
    <w:p w:rsidR="009A01B4" w:rsidRPr="009E65A9" w:rsidRDefault="009A01B4" w:rsidP="00F37088">
      <w:pPr>
        <w:autoSpaceDE w:val="0"/>
        <w:autoSpaceDN w:val="0"/>
        <w:adjustRightInd w:val="0"/>
        <w:spacing w:line="520" w:lineRule="exact"/>
        <w:ind w:firstLineChars="200" w:firstLine="560"/>
        <w:rPr>
          <w:rFonts w:ascii="仿宋" w:eastAsia="仿宋" w:hAnsi="仿宋" w:cs="宋体"/>
          <w:kern w:val="0"/>
          <w:sz w:val="28"/>
          <w:szCs w:val="28"/>
          <w:lang w:val="zh-CN"/>
        </w:rPr>
      </w:pPr>
      <w:r w:rsidRPr="00034F24">
        <w:rPr>
          <w:rFonts w:ascii="仿宋" w:eastAsia="仿宋" w:hAnsi="仿宋" w:cs="Calibri" w:hint="eastAsia"/>
          <w:kern w:val="0"/>
          <w:sz w:val="28"/>
          <w:szCs w:val="28"/>
        </w:rPr>
        <w:t>在达到预警条件的全部学生中，</w:t>
      </w:r>
      <w:r w:rsidRPr="00034F24">
        <w:rPr>
          <w:rFonts w:ascii="仿宋" w:eastAsia="仿宋" w:hAnsi="仿宋" w:cs="Calibri"/>
          <w:kern w:val="0"/>
          <w:sz w:val="28"/>
          <w:szCs w:val="28"/>
        </w:rPr>
        <w:t>2012</w:t>
      </w:r>
      <w:r w:rsidRPr="00034F24">
        <w:rPr>
          <w:rFonts w:ascii="仿宋" w:eastAsia="仿宋" w:hAnsi="仿宋" w:cs="Calibri" w:hint="eastAsia"/>
          <w:kern w:val="0"/>
          <w:sz w:val="28"/>
          <w:szCs w:val="28"/>
        </w:rPr>
        <w:t>级</w:t>
      </w:r>
      <w:r w:rsidRPr="00034F24">
        <w:rPr>
          <w:rFonts w:ascii="仿宋" w:eastAsia="仿宋" w:hAnsi="仿宋" w:cs="Calibri"/>
          <w:kern w:val="0"/>
          <w:sz w:val="28"/>
          <w:szCs w:val="28"/>
        </w:rPr>
        <w:t>89</w:t>
      </w:r>
      <w:r w:rsidRPr="00034F24">
        <w:rPr>
          <w:rFonts w:ascii="仿宋" w:eastAsia="仿宋" w:hAnsi="仿宋" w:cs="Calibri" w:hint="eastAsia"/>
          <w:kern w:val="0"/>
          <w:sz w:val="28"/>
          <w:szCs w:val="28"/>
        </w:rPr>
        <w:t>人，占</w:t>
      </w:r>
      <w:r w:rsidRPr="00034F24">
        <w:rPr>
          <w:rFonts w:ascii="仿宋" w:eastAsia="仿宋" w:hAnsi="仿宋" w:cs="Calibri"/>
          <w:kern w:val="0"/>
          <w:sz w:val="28"/>
          <w:szCs w:val="28"/>
        </w:rPr>
        <w:t>2012</w:t>
      </w:r>
      <w:r w:rsidRPr="00034F24">
        <w:rPr>
          <w:rFonts w:ascii="仿宋" w:eastAsia="仿宋" w:hAnsi="仿宋" w:cs="Calibri" w:hint="eastAsia"/>
          <w:kern w:val="0"/>
          <w:sz w:val="28"/>
          <w:szCs w:val="28"/>
        </w:rPr>
        <w:t>级学生总数的</w:t>
      </w:r>
      <w:r w:rsidRPr="00034F24">
        <w:rPr>
          <w:rFonts w:ascii="仿宋" w:eastAsia="仿宋" w:hAnsi="仿宋" w:cs="Calibri"/>
          <w:kern w:val="0"/>
          <w:sz w:val="28"/>
          <w:szCs w:val="28"/>
        </w:rPr>
        <w:t>7.60%</w:t>
      </w:r>
      <w:r w:rsidRPr="00034F24">
        <w:rPr>
          <w:rFonts w:ascii="仿宋" w:eastAsia="仿宋" w:hAnsi="仿宋" w:cs="Calibri" w:hint="eastAsia"/>
          <w:kern w:val="0"/>
          <w:sz w:val="28"/>
          <w:szCs w:val="28"/>
        </w:rPr>
        <w:t>；</w:t>
      </w:r>
      <w:r w:rsidRPr="00034F24">
        <w:rPr>
          <w:rFonts w:ascii="仿宋" w:eastAsia="仿宋" w:hAnsi="仿宋" w:cs="Calibri"/>
          <w:kern w:val="0"/>
          <w:sz w:val="28"/>
          <w:szCs w:val="28"/>
        </w:rPr>
        <w:t>2013</w:t>
      </w:r>
      <w:r w:rsidRPr="00034F24">
        <w:rPr>
          <w:rFonts w:ascii="仿宋" w:eastAsia="仿宋" w:hAnsi="仿宋" w:cs="Calibri" w:hint="eastAsia"/>
          <w:kern w:val="0"/>
          <w:sz w:val="28"/>
          <w:szCs w:val="28"/>
        </w:rPr>
        <w:t>级</w:t>
      </w:r>
      <w:r w:rsidRPr="00034F24">
        <w:rPr>
          <w:rFonts w:ascii="仿宋" w:eastAsia="仿宋" w:hAnsi="仿宋" w:cs="Calibri"/>
          <w:kern w:val="0"/>
          <w:sz w:val="28"/>
          <w:szCs w:val="28"/>
        </w:rPr>
        <w:t>124</w:t>
      </w:r>
      <w:r w:rsidRPr="00034F24">
        <w:rPr>
          <w:rFonts w:ascii="仿宋" w:eastAsia="仿宋" w:hAnsi="仿宋" w:cs="Calibri" w:hint="eastAsia"/>
          <w:kern w:val="0"/>
          <w:sz w:val="28"/>
          <w:szCs w:val="28"/>
        </w:rPr>
        <w:t>人，占</w:t>
      </w:r>
      <w:r w:rsidRPr="00034F24">
        <w:rPr>
          <w:rFonts w:ascii="仿宋" w:eastAsia="仿宋" w:hAnsi="仿宋" w:cs="Calibri"/>
          <w:kern w:val="0"/>
          <w:sz w:val="28"/>
          <w:szCs w:val="28"/>
        </w:rPr>
        <w:t>2013</w:t>
      </w:r>
      <w:r w:rsidRPr="00034F24">
        <w:rPr>
          <w:rFonts w:ascii="仿宋" w:eastAsia="仿宋" w:hAnsi="仿宋" w:cs="Calibri" w:hint="eastAsia"/>
          <w:kern w:val="0"/>
          <w:sz w:val="28"/>
          <w:szCs w:val="28"/>
        </w:rPr>
        <w:t>级学生总数的</w:t>
      </w:r>
      <w:r w:rsidRPr="00034F24">
        <w:rPr>
          <w:rFonts w:ascii="仿宋" w:eastAsia="仿宋" w:hAnsi="仿宋" w:cs="Calibri"/>
          <w:kern w:val="0"/>
          <w:sz w:val="28"/>
          <w:szCs w:val="28"/>
        </w:rPr>
        <w:t>3.30%</w:t>
      </w:r>
      <w:r w:rsidRPr="00034F24">
        <w:rPr>
          <w:rFonts w:ascii="仿宋" w:eastAsia="仿宋" w:hAnsi="仿宋" w:cs="Calibri" w:hint="eastAsia"/>
          <w:kern w:val="0"/>
          <w:sz w:val="28"/>
          <w:szCs w:val="28"/>
        </w:rPr>
        <w:t>；</w:t>
      </w:r>
      <w:r w:rsidRPr="00034F24">
        <w:rPr>
          <w:rFonts w:ascii="仿宋" w:eastAsia="仿宋" w:hAnsi="仿宋" w:cs="Calibri"/>
          <w:kern w:val="0"/>
          <w:sz w:val="28"/>
          <w:szCs w:val="28"/>
        </w:rPr>
        <w:t>2014</w:t>
      </w:r>
      <w:r w:rsidRPr="00034F24">
        <w:rPr>
          <w:rFonts w:ascii="仿宋" w:eastAsia="仿宋" w:hAnsi="仿宋" w:cs="Calibri" w:hint="eastAsia"/>
          <w:kern w:val="0"/>
          <w:sz w:val="28"/>
          <w:szCs w:val="28"/>
        </w:rPr>
        <w:t>级</w:t>
      </w:r>
      <w:r w:rsidRPr="00034F24">
        <w:rPr>
          <w:rFonts w:ascii="仿宋" w:eastAsia="仿宋" w:hAnsi="仿宋" w:cs="Calibri"/>
          <w:kern w:val="0"/>
          <w:sz w:val="28"/>
          <w:szCs w:val="28"/>
        </w:rPr>
        <w:t>157</w:t>
      </w:r>
      <w:r w:rsidRPr="00034F24">
        <w:rPr>
          <w:rFonts w:ascii="仿宋" w:eastAsia="仿宋" w:hAnsi="仿宋" w:cs="Calibri" w:hint="eastAsia"/>
          <w:kern w:val="0"/>
          <w:sz w:val="28"/>
          <w:szCs w:val="28"/>
        </w:rPr>
        <w:t>人，占</w:t>
      </w:r>
      <w:r w:rsidRPr="00034F24">
        <w:rPr>
          <w:rFonts w:ascii="仿宋" w:eastAsia="仿宋" w:hAnsi="仿宋" w:cs="Calibri"/>
          <w:kern w:val="0"/>
          <w:sz w:val="28"/>
          <w:szCs w:val="28"/>
        </w:rPr>
        <w:t>2014</w:t>
      </w:r>
      <w:r w:rsidRPr="00034F24">
        <w:rPr>
          <w:rFonts w:ascii="仿宋" w:eastAsia="仿宋" w:hAnsi="仿宋" w:cs="Calibri" w:hint="eastAsia"/>
          <w:kern w:val="0"/>
          <w:sz w:val="28"/>
          <w:szCs w:val="28"/>
        </w:rPr>
        <w:t>级学生总数的</w:t>
      </w:r>
      <w:r w:rsidRPr="00034F24">
        <w:rPr>
          <w:rFonts w:ascii="仿宋" w:eastAsia="仿宋" w:hAnsi="仿宋" w:cs="Calibri"/>
          <w:kern w:val="0"/>
          <w:sz w:val="28"/>
          <w:szCs w:val="28"/>
        </w:rPr>
        <w:t>4.27%</w:t>
      </w:r>
      <w:r w:rsidRPr="00034F24">
        <w:rPr>
          <w:rFonts w:ascii="仿宋" w:eastAsia="仿宋" w:hAnsi="仿宋" w:cs="Calibri" w:hint="eastAsia"/>
          <w:kern w:val="0"/>
          <w:sz w:val="28"/>
          <w:szCs w:val="28"/>
        </w:rPr>
        <w:t>；</w:t>
      </w:r>
      <w:r w:rsidRPr="00034F24">
        <w:rPr>
          <w:rFonts w:ascii="仿宋" w:eastAsia="仿宋" w:hAnsi="仿宋" w:cs="Calibri"/>
          <w:kern w:val="0"/>
          <w:sz w:val="28"/>
          <w:szCs w:val="28"/>
        </w:rPr>
        <w:t>2015</w:t>
      </w:r>
      <w:r w:rsidRPr="00034F24">
        <w:rPr>
          <w:rFonts w:ascii="仿宋" w:eastAsia="仿宋" w:hAnsi="仿宋" w:cs="Calibri" w:hint="eastAsia"/>
          <w:kern w:val="0"/>
          <w:sz w:val="28"/>
          <w:szCs w:val="28"/>
        </w:rPr>
        <w:t>级</w:t>
      </w:r>
      <w:r w:rsidRPr="00034F24">
        <w:rPr>
          <w:rFonts w:ascii="仿宋" w:eastAsia="仿宋" w:hAnsi="仿宋" w:cs="Calibri"/>
          <w:kern w:val="0"/>
          <w:sz w:val="28"/>
          <w:szCs w:val="28"/>
        </w:rPr>
        <w:t>5</w:t>
      </w:r>
      <w:r w:rsidRPr="00034F24">
        <w:rPr>
          <w:rFonts w:ascii="仿宋" w:eastAsia="仿宋" w:hAnsi="仿宋" w:cs="Calibri" w:hint="eastAsia"/>
          <w:kern w:val="0"/>
          <w:sz w:val="28"/>
          <w:szCs w:val="28"/>
        </w:rPr>
        <w:t>人，占</w:t>
      </w:r>
      <w:r w:rsidRPr="00034F24">
        <w:rPr>
          <w:rFonts w:ascii="仿宋" w:eastAsia="仿宋" w:hAnsi="仿宋" w:cs="Calibri"/>
          <w:kern w:val="0"/>
          <w:sz w:val="28"/>
          <w:szCs w:val="28"/>
        </w:rPr>
        <w:t>2015</w:t>
      </w:r>
      <w:r w:rsidRPr="00034F24">
        <w:rPr>
          <w:rFonts w:ascii="仿宋" w:eastAsia="仿宋" w:hAnsi="仿宋" w:cs="Calibri" w:hint="eastAsia"/>
          <w:kern w:val="0"/>
          <w:sz w:val="28"/>
          <w:szCs w:val="28"/>
        </w:rPr>
        <w:t>级学生总数的</w:t>
      </w:r>
      <w:r w:rsidRPr="00034F24">
        <w:rPr>
          <w:rFonts w:ascii="仿宋" w:eastAsia="仿宋" w:hAnsi="仿宋" w:cs="Calibri"/>
          <w:kern w:val="0"/>
          <w:sz w:val="28"/>
          <w:szCs w:val="28"/>
        </w:rPr>
        <w:t>0.14%</w:t>
      </w:r>
      <w:r w:rsidRPr="00034F24">
        <w:rPr>
          <w:rFonts w:ascii="仿宋" w:eastAsia="仿宋" w:hAnsi="仿宋" w:cs="Calibri" w:hint="eastAsia"/>
          <w:kern w:val="0"/>
          <w:sz w:val="28"/>
          <w:szCs w:val="28"/>
        </w:rPr>
        <w:t>，比例呈现形式无明显规律。各学院分年级达到预警条件的学生情况具体见表</w:t>
      </w:r>
      <w:r w:rsidRPr="00034F24">
        <w:rPr>
          <w:rFonts w:ascii="仿宋" w:eastAsia="仿宋" w:hAnsi="仿宋" w:cs="Calibri"/>
          <w:kern w:val="0"/>
          <w:sz w:val="28"/>
          <w:szCs w:val="28"/>
        </w:rPr>
        <w:t>3</w:t>
      </w:r>
      <w:r w:rsidRPr="00034F24">
        <w:rPr>
          <w:rFonts w:ascii="仿宋" w:eastAsia="仿宋" w:hAnsi="仿宋" w:cs="Calibri" w:hint="eastAsia"/>
          <w:kern w:val="0"/>
          <w:sz w:val="28"/>
          <w:szCs w:val="28"/>
        </w:rPr>
        <w:t>和图</w:t>
      </w:r>
      <w:r w:rsidRPr="00034F24">
        <w:rPr>
          <w:rFonts w:ascii="仿宋" w:eastAsia="仿宋" w:hAnsi="仿宋" w:cs="Calibri"/>
          <w:kern w:val="0"/>
          <w:sz w:val="28"/>
          <w:szCs w:val="28"/>
        </w:rPr>
        <w:t>3</w:t>
      </w:r>
      <w:r w:rsidRPr="00034F24">
        <w:rPr>
          <w:rFonts w:ascii="仿宋" w:eastAsia="仿宋" w:hAnsi="仿宋" w:cs="Calibri" w:hint="eastAsia"/>
          <w:kern w:val="0"/>
          <w:sz w:val="28"/>
          <w:szCs w:val="28"/>
        </w:rPr>
        <w:t>。对比各学院分年级的情况，文化传播学院、会计学院</w:t>
      </w:r>
      <w:r w:rsidRPr="00034F24">
        <w:rPr>
          <w:rFonts w:ascii="仿宋" w:eastAsia="仿宋" w:hAnsi="仿宋" w:cs="Calibri"/>
          <w:kern w:val="0"/>
          <w:sz w:val="28"/>
          <w:szCs w:val="28"/>
        </w:rPr>
        <w:t>2012</w:t>
      </w:r>
      <w:r w:rsidRPr="00034F24">
        <w:rPr>
          <w:rFonts w:ascii="仿宋" w:eastAsia="仿宋" w:hAnsi="仿宋" w:cs="Calibri" w:hint="eastAsia"/>
          <w:kern w:val="0"/>
          <w:sz w:val="28"/>
          <w:szCs w:val="28"/>
        </w:rPr>
        <w:t>级学生达到预警条件者占同级学生总数的比例较其他学院偏高，均超过</w:t>
      </w:r>
      <w:r w:rsidRPr="00034F24">
        <w:rPr>
          <w:rFonts w:ascii="仿宋" w:eastAsia="仿宋" w:hAnsi="仿宋" w:cs="Calibri"/>
          <w:kern w:val="0"/>
          <w:sz w:val="28"/>
          <w:szCs w:val="28"/>
        </w:rPr>
        <w:t>10.00%</w:t>
      </w:r>
      <w:r w:rsidRPr="00034F24">
        <w:rPr>
          <w:rFonts w:ascii="仿宋" w:eastAsia="仿宋" w:hAnsi="仿宋" w:cs="Calibri" w:hint="eastAsia"/>
          <w:kern w:val="0"/>
          <w:sz w:val="28"/>
          <w:szCs w:val="28"/>
        </w:rPr>
        <w:t>，需要学院引起足够的重视，避免因不及格课程而耽误学生正常</w:t>
      </w:r>
      <w:r w:rsidRPr="00034F24">
        <w:rPr>
          <w:rFonts w:ascii="仿宋" w:eastAsia="仿宋" w:hAnsi="仿宋" w:cs="Calibri" w:hint="eastAsia"/>
          <w:kern w:val="0"/>
          <w:sz w:val="28"/>
          <w:szCs w:val="28"/>
        </w:rPr>
        <w:lastRenderedPageBreak/>
        <w:t>毕业；</w:t>
      </w:r>
      <w:r w:rsidRPr="00034F24">
        <w:rPr>
          <w:rFonts w:ascii="仿宋" w:eastAsia="仿宋" w:hAnsi="仿宋" w:cs="Calibri"/>
          <w:kern w:val="0"/>
          <w:sz w:val="28"/>
          <w:szCs w:val="28"/>
        </w:rPr>
        <w:t>2013</w:t>
      </w:r>
      <w:r w:rsidRPr="00034F24">
        <w:rPr>
          <w:rFonts w:ascii="仿宋" w:eastAsia="仿宋" w:hAnsi="仿宋" w:cs="Calibri" w:hint="eastAsia"/>
          <w:kern w:val="0"/>
          <w:sz w:val="28"/>
          <w:szCs w:val="28"/>
        </w:rPr>
        <w:t>级学生中会计学院、设计艺术学院、文化传播学院达到预警条件者占同级学生总数的比例略高于其他学院，均超过</w:t>
      </w:r>
      <w:r w:rsidRPr="00034F24">
        <w:rPr>
          <w:rFonts w:ascii="仿宋" w:eastAsia="仿宋" w:hAnsi="仿宋" w:cs="Calibri"/>
          <w:kern w:val="0"/>
          <w:sz w:val="28"/>
          <w:szCs w:val="28"/>
        </w:rPr>
        <w:t>4.00%</w:t>
      </w:r>
      <w:r w:rsidRPr="00034F24">
        <w:rPr>
          <w:rFonts w:ascii="仿宋" w:eastAsia="仿宋" w:hAnsi="仿宋" w:cs="Calibri" w:hint="eastAsia"/>
          <w:kern w:val="0"/>
          <w:sz w:val="28"/>
          <w:szCs w:val="28"/>
        </w:rPr>
        <w:t>；</w:t>
      </w:r>
      <w:r w:rsidRPr="00034F24">
        <w:rPr>
          <w:rFonts w:ascii="仿宋" w:eastAsia="仿宋" w:hAnsi="仿宋" w:cs="Calibri"/>
          <w:kern w:val="0"/>
          <w:sz w:val="28"/>
          <w:szCs w:val="28"/>
        </w:rPr>
        <w:t>2014</w:t>
      </w:r>
      <w:r w:rsidRPr="00034F24">
        <w:rPr>
          <w:rFonts w:ascii="仿宋" w:eastAsia="仿宋" w:hAnsi="仿宋" w:cs="Calibri" w:hint="eastAsia"/>
          <w:kern w:val="0"/>
          <w:sz w:val="28"/>
          <w:szCs w:val="28"/>
        </w:rPr>
        <w:t>级学生中设计艺术学院、会计学院、文化传播学院达到预警条件者占同级学生的比例较其他学院偏高，均超过</w:t>
      </w:r>
      <w:r w:rsidRPr="00034F24">
        <w:rPr>
          <w:rFonts w:ascii="仿宋" w:eastAsia="仿宋" w:hAnsi="仿宋" w:cs="Calibri"/>
          <w:kern w:val="0"/>
          <w:sz w:val="28"/>
          <w:szCs w:val="28"/>
        </w:rPr>
        <w:t>4.00%</w:t>
      </w:r>
      <w:r w:rsidRPr="00034F24">
        <w:rPr>
          <w:rFonts w:ascii="仿宋" w:eastAsia="仿宋" w:hAnsi="仿宋" w:cs="Calibri" w:hint="eastAsia"/>
          <w:kern w:val="0"/>
          <w:sz w:val="28"/>
          <w:szCs w:val="28"/>
        </w:rPr>
        <w:t>。</w:t>
      </w:r>
      <w:r w:rsidRPr="00034F24">
        <w:rPr>
          <w:rFonts w:ascii="仿宋" w:eastAsia="仿宋" w:hAnsi="仿宋" w:cs="Calibri"/>
          <w:kern w:val="0"/>
          <w:sz w:val="28"/>
          <w:szCs w:val="28"/>
        </w:rPr>
        <w:t>2015</w:t>
      </w:r>
      <w:r w:rsidRPr="00034F24">
        <w:rPr>
          <w:rFonts w:ascii="仿宋" w:eastAsia="仿宋" w:hAnsi="仿宋" w:cs="Calibri" w:hint="eastAsia"/>
          <w:kern w:val="0"/>
          <w:sz w:val="28"/>
          <w:szCs w:val="28"/>
        </w:rPr>
        <w:t>级学生因就读时间较短，修读课程门数累计偏少，仅有政治与公共管理学院、文化传播学院、舞蹈学院有达到预警条件的学生，并且总共只有</w:t>
      </w:r>
      <w:r w:rsidRPr="00034F24">
        <w:rPr>
          <w:rFonts w:ascii="仿宋" w:eastAsia="仿宋" w:hAnsi="仿宋" w:cs="Calibri"/>
          <w:kern w:val="0"/>
          <w:sz w:val="28"/>
          <w:szCs w:val="28"/>
        </w:rPr>
        <w:t>5</w:t>
      </w:r>
      <w:r w:rsidRPr="00034F24">
        <w:rPr>
          <w:rFonts w:ascii="仿宋" w:eastAsia="仿宋" w:hAnsi="仿宋" w:cs="Calibri" w:hint="eastAsia"/>
          <w:kern w:val="0"/>
          <w:sz w:val="28"/>
          <w:szCs w:val="28"/>
        </w:rPr>
        <w:t>名学生。</w:t>
      </w:r>
    </w:p>
    <w:p w:rsidR="009A01B4" w:rsidRDefault="009A01B4" w:rsidP="00CA2179">
      <w:pPr>
        <w:autoSpaceDE w:val="0"/>
        <w:autoSpaceDN w:val="0"/>
        <w:adjustRightInd w:val="0"/>
        <w:spacing w:line="360" w:lineRule="auto"/>
        <w:ind w:firstLine="480"/>
        <w:rPr>
          <w:rFonts w:ascii="宋体" w:cs="宋体"/>
          <w:kern w:val="0"/>
          <w:sz w:val="24"/>
          <w:lang w:val="zh-CN"/>
        </w:rPr>
      </w:pPr>
    </w:p>
    <w:p w:rsidR="009A01B4" w:rsidRDefault="00577C92" w:rsidP="00A211EA">
      <w:pPr>
        <w:autoSpaceDE w:val="0"/>
        <w:autoSpaceDN w:val="0"/>
        <w:adjustRightInd w:val="0"/>
        <w:spacing w:line="360" w:lineRule="auto"/>
        <w:ind w:firstLine="480"/>
        <w:jc w:val="left"/>
        <w:rPr>
          <w:rFonts w:ascii="宋体" w:cs="宋体"/>
          <w:kern w:val="0"/>
          <w:sz w:val="24"/>
          <w:lang w:val="zh-CN"/>
        </w:rPr>
      </w:pPr>
      <w:r>
        <w:rPr>
          <w:rFonts w:ascii="宋体" w:cs="宋体"/>
          <w:noProof/>
          <w:kern w:val="0"/>
          <w:sz w:val="24"/>
        </w:rPr>
        <w:pict>
          <v:shape id="图片 9" o:spid="_x0000_i1033" type="#_x0000_t75" style="width:434.25pt;height:175.5pt;visibility:visible">
            <v:imagedata r:id="rId18" o:title=""/>
          </v:shape>
        </w:pict>
      </w:r>
    </w:p>
    <w:p w:rsidR="009A01B4" w:rsidRPr="00A517A2" w:rsidRDefault="009A01B4" w:rsidP="00285783">
      <w:pPr>
        <w:autoSpaceDE w:val="0"/>
        <w:autoSpaceDN w:val="0"/>
        <w:adjustRightInd w:val="0"/>
        <w:spacing w:line="520" w:lineRule="atLeast"/>
        <w:jc w:val="center"/>
        <w:rPr>
          <w:rFonts w:ascii="宋体" w:cs="Calibri"/>
          <w:kern w:val="0"/>
          <w:sz w:val="24"/>
        </w:rPr>
      </w:pPr>
      <w:r w:rsidRPr="00A517A2">
        <w:rPr>
          <w:rFonts w:ascii="宋体" w:hAnsi="宋体" w:cs="宋体" w:hint="eastAsia"/>
          <w:kern w:val="0"/>
          <w:sz w:val="24"/>
          <w:lang w:val="zh-CN"/>
        </w:rPr>
        <w:t>图</w:t>
      </w:r>
      <w:r w:rsidRPr="00344074">
        <w:rPr>
          <w:rFonts w:ascii="宋体" w:hAnsi="宋体" w:cs="宋体"/>
          <w:kern w:val="0"/>
          <w:sz w:val="24"/>
          <w:lang w:val="zh-CN"/>
        </w:rPr>
        <w:t>3</w:t>
      </w:r>
      <w:r>
        <w:rPr>
          <w:rFonts w:ascii="宋体" w:hAnsi="宋体" w:cs="宋体"/>
          <w:kern w:val="0"/>
          <w:sz w:val="24"/>
          <w:lang w:val="zh-CN"/>
        </w:rPr>
        <w:t xml:space="preserve">  </w:t>
      </w:r>
      <w:r>
        <w:rPr>
          <w:rFonts w:ascii="宋体" w:hAnsi="宋体" w:cs="宋体" w:hint="eastAsia"/>
          <w:kern w:val="0"/>
          <w:sz w:val="24"/>
          <w:lang w:val="zh-CN"/>
        </w:rPr>
        <w:t>各年级被预警人数占年级总人数比例图</w:t>
      </w:r>
    </w:p>
    <w:p w:rsidR="009A01B4" w:rsidRPr="00285783" w:rsidRDefault="009A01B4" w:rsidP="00CA2179">
      <w:pPr>
        <w:autoSpaceDE w:val="0"/>
        <w:autoSpaceDN w:val="0"/>
        <w:adjustRightInd w:val="0"/>
        <w:spacing w:line="360" w:lineRule="auto"/>
        <w:ind w:firstLine="480"/>
        <w:rPr>
          <w:rFonts w:ascii="宋体" w:cs="宋体"/>
          <w:kern w:val="0"/>
          <w:sz w:val="24"/>
        </w:rPr>
      </w:pPr>
    </w:p>
    <w:p w:rsidR="009A01B4" w:rsidRDefault="009A01B4" w:rsidP="00CA2179">
      <w:pPr>
        <w:autoSpaceDE w:val="0"/>
        <w:autoSpaceDN w:val="0"/>
        <w:adjustRightInd w:val="0"/>
        <w:spacing w:line="360" w:lineRule="auto"/>
        <w:ind w:firstLine="480"/>
        <w:rPr>
          <w:rFonts w:ascii="宋体" w:cs="宋体"/>
          <w:kern w:val="0"/>
          <w:sz w:val="24"/>
          <w:lang w:val="zh-CN"/>
        </w:rPr>
      </w:pPr>
    </w:p>
    <w:p w:rsidR="009A01B4" w:rsidRDefault="009A01B4" w:rsidP="00CA2179">
      <w:pPr>
        <w:autoSpaceDE w:val="0"/>
        <w:autoSpaceDN w:val="0"/>
        <w:adjustRightInd w:val="0"/>
        <w:spacing w:line="360" w:lineRule="auto"/>
        <w:ind w:firstLine="480"/>
        <w:rPr>
          <w:rFonts w:ascii="宋体" w:cs="宋体"/>
          <w:kern w:val="0"/>
          <w:sz w:val="24"/>
          <w:lang w:val="zh-CN"/>
        </w:rPr>
      </w:pPr>
    </w:p>
    <w:p w:rsidR="009A01B4" w:rsidRDefault="009A01B4" w:rsidP="00CA2179">
      <w:pPr>
        <w:autoSpaceDE w:val="0"/>
        <w:autoSpaceDN w:val="0"/>
        <w:adjustRightInd w:val="0"/>
        <w:spacing w:line="360" w:lineRule="auto"/>
        <w:ind w:firstLine="480"/>
        <w:rPr>
          <w:rFonts w:ascii="宋体" w:cs="宋体"/>
          <w:kern w:val="0"/>
          <w:sz w:val="24"/>
          <w:lang w:val="zh-CN"/>
        </w:rPr>
      </w:pPr>
    </w:p>
    <w:p w:rsidR="009A01B4" w:rsidRDefault="009A01B4" w:rsidP="00CA2179">
      <w:pPr>
        <w:autoSpaceDE w:val="0"/>
        <w:autoSpaceDN w:val="0"/>
        <w:adjustRightInd w:val="0"/>
        <w:spacing w:line="360" w:lineRule="auto"/>
        <w:ind w:firstLine="480"/>
        <w:rPr>
          <w:rFonts w:cs="Calibri"/>
          <w:kern w:val="0"/>
          <w:sz w:val="24"/>
        </w:rPr>
        <w:sectPr w:rsidR="009A01B4" w:rsidSect="009701B5">
          <w:footerReference w:type="default" r:id="rId19"/>
          <w:pgSz w:w="12240" w:h="15840"/>
          <w:pgMar w:top="1440" w:right="1800" w:bottom="1440" w:left="1800" w:header="720" w:footer="720" w:gutter="0"/>
          <w:pgNumType w:fmt="numberInDash" w:start="1"/>
          <w:cols w:space="720"/>
          <w:noEndnote/>
        </w:sectPr>
      </w:pPr>
    </w:p>
    <w:tbl>
      <w:tblPr>
        <w:tblW w:w="12947" w:type="dxa"/>
        <w:jc w:val="center"/>
        <w:tblLook w:val="00A0" w:firstRow="1" w:lastRow="0" w:firstColumn="1" w:lastColumn="0" w:noHBand="0" w:noVBand="0"/>
      </w:tblPr>
      <w:tblGrid>
        <w:gridCol w:w="1876"/>
        <w:gridCol w:w="964"/>
        <w:gridCol w:w="738"/>
        <w:gridCol w:w="1087"/>
        <w:gridCol w:w="779"/>
        <w:gridCol w:w="881"/>
        <w:gridCol w:w="1046"/>
        <w:gridCol w:w="799"/>
        <w:gridCol w:w="861"/>
        <w:gridCol w:w="1179"/>
        <w:gridCol w:w="850"/>
        <w:gridCol w:w="708"/>
        <w:gridCol w:w="1179"/>
      </w:tblGrid>
      <w:tr w:rsidR="009A01B4" w:rsidRPr="00A517A2" w:rsidTr="00BF424F">
        <w:trPr>
          <w:trHeight w:val="501"/>
          <w:jc w:val="center"/>
        </w:trPr>
        <w:tc>
          <w:tcPr>
            <w:tcW w:w="12946" w:type="dxa"/>
            <w:gridSpan w:val="13"/>
            <w:tcBorders>
              <w:top w:val="nil"/>
              <w:left w:val="nil"/>
              <w:bottom w:val="single" w:sz="4" w:space="0" w:color="auto"/>
              <w:right w:val="nil"/>
            </w:tcBorders>
            <w:noWrap/>
            <w:vAlign w:val="center"/>
          </w:tcPr>
          <w:p w:rsidR="009A01B4" w:rsidRDefault="009A01B4" w:rsidP="00CA2179">
            <w:pPr>
              <w:autoSpaceDE w:val="0"/>
              <w:autoSpaceDN w:val="0"/>
              <w:adjustRightInd w:val="0"/>
              <w:spacing w:line="360" w:lineRule="auto"/>
              <w:jc w:val="center"/>
              <w:rPr>
                <w:rFonts w:ascii="宋体" w:cs="宋体"/>
                <w:kern w:val="0"/>
                <w:sz w:val="24"/>
                <w:lang w:val="zh-CN"/>
              </w:rPr>
            </w:pPr>
          </w:p>
          <w:p w:rsidR="009A01B4" w:rsidRPr="00A517A2" w:rsidRDefault="009A01B4" w:rsidP="00CA2179">
            <w:pPr>
              <w:autoSpaceDE w:val="0"/>
              <w:autoSpaceDN w:val="0"/>
              <w:adjustRightInd w:val="0"/>
              <w:spacing w:line="360" w:lineRule="auto"/>
              <w:jc w:val="center"/>
              <w:rPr>
                <w:rFonts w:ascii="宋体" w:cs="宋体"/>
                <w:kern w:val="0"/>
                <w:sz w:val="24"/>
                <w:lang w:val="zh-CN"/>
              </w:rPr>
            </w:pPr>
            <w:r w:rsidRPr="00A517A2">
              <w:rPr>
                <w:rFonts w:ascii="宋体" w:hAnsi="宋体" w:cs="宋体" w:hint="eastAsia"/>
                <w:kern w:val="0"/>
                <w:sz w:val="24"/>
                <w:lang w:val="zh-CN"/>
              </w:rPr>
              <w:t>表</w:t>
            </w:r>
            <w:r w:rsidRPr="00A517A2">
              <w:rPr>
                <w:rFonts w:ascii="宋体" w:hAnsi="宋体" w:cs="宋体"/>
                <w:kern w:val="0"/>
                <w:sz w:val="24"/>
                <w:lang w:val="zh-CN"/>
              </w:rPr>
              <w:t>3  2015-2016</w:t>
            </w:r>
            <w:r w:rsidRPr="00A517A2">
              <w:rPr>
                <w:rFonts w:ascii="宋体" w:hAnsi="宋体" w:cs="宋体" w:hint="eastAsia"/>
                <w:kern w:val="0"/>
                <w:sz w:val="24"/>
                <w:lang w:val="zh-CN"/>
              </w:rPr>
              <w:t>学年第二学期学生学业预警信息统计表（按年级统计）</w:t>
            </w:r>
          </w:p>
        </w:tc>
      </w:tr>
      <w:tr w:rsidR="009A01B4" w:rsidRPr="00474CDD" w:rsidTr="00BF424F">
        <w:trPr>
          <w:trHeight w:val="1682"/>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学院名称</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2012</w:t>
            </w:r>
            <w:r w:rsidRPr="00A517A2">
              <w:rPr>
                <w:rFonts w:ascii="宋体" w:hAnsi="宋体" w:cs="宋体" w:hint="eastAsia"/>
                <w:color w:val="000000"/>
                <w:kern w:val="0"/>
                <w:szCs w:val="21"/>
              </w:rPr>
              <w:t>级被预警人数</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2012</w:t>
            </w:r>
            <w:r w:rsidRPr="00A517A2">
              <w:rPr>
                <w:rFonts w:ascii="宋体" w:hAnsi="宋体" w:cs="宋体" w:hint="eastAsia"/>
                <w:color w:val="000000"/>
                <w:kern w:val="0"/>
                <w:szCs w:val="21"/>
              </w:rPr>
              <w:t>级总人数</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2012</w:t>
            </w:r>
            <w:r w:rsidRPr="00A517A2">
              <w:rPr>
                <w:rFonts w:ascii="宋体" w:hAnsi="宋体" w:cs="宋体" w:hint="eastAsia"/>
                <w:kern w:val="0"/>
                <w:szCs w:val="21"/>
              </w:rPr>
              <w:t>级被预警人数占</w:t>
            </w:r>
            <w:r w:rsidRPr="00A517A2">
              <w:rPr>
                <w:rFonts w:ascii="宋体" w:hAnsi="宋体" w:cs="宋体"/>
                <w:kern w:val="0"/>
                <w:szCs w:val="21"/>
              </w:rPr>
              <w:t>2012</w:t>
            </w:r>
            <w:r w:rsidRPr="00A517A2">
              <w:rPr>
                <w:rFonts w:ascii="宋体" w:hAnsi="宋体" w:cs="宋体" w:hint="eastAsia"/>
                <w:kern w:val="0"/>
                <w:szCs w:val="21"/>
              </w:rPr>
              <w:t>级总人数百分比</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2013</w:t>
            </w:r>
            <w:r w:rsidRPr="00A517A2">
              <w:rPr>
                <w:rFonts w:ascii="宋体" w:hAnsi="宋体" w:cs="宋体" w:hint="eastAsia"/>
                <w:kern w:val="0"/>
                <w:szCs w:val="21"/>
              </w:rPr>
              <w:t>级被预警人数</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2013</w:t>
            </w:r>
            <w:r w:rsidRPr="00A517A2">
              <w:rPr>
                <w:rFonts w:ascii="宋体" w:hAnsi="宋体" w:cs="宋体" w:hint="eastAsia"/>
                <w:kern w:val="0"/>
                <w:szCs w:val="21"/>
              </w:rPr>
              <w:t>级总人数</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2013</w:t>
            </w:r>
            <w:r w:rsidRPr="00A517A2">
              <w:rPr>
                <w:rFonts w:ascii="宋体" w:hAnsi="宋体" w:cs="宋体" w:hint="eastAsia"/>
                <w:kern w:val="0"/>
                <w:szCs w:val="21"/>
              </w:rPr>
              <w:t>级被预警人数占</w:t>
            </w:r>
            <w:r w:rsidRPr="00A517A2">
              <w:rPr>
                <w:rFonts w:ascii="宋体" w:hAnsi="宋体" w:cs="宋体"/>
                <w:kern w:val="0"/>
                <w:szCs w:val="21"/>
              </w:rPr>
              <w:t>2013</w:t>
            </w:r>
            <w:r w:rsidRPr="00A517A2">
              <w:rPr>
                <w:rFonts w:ascii="宋体" w:hAnsi="宋体" w:cs="宋体" w:hint="eastAsia"/>
                <w:kern w:val="0"/>
                <w:szCs w:val="21"/>
              </w:rPr>
              <w:t>级总人数百分比</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2014</w:t>
            </w:r>
            <w:r w:rsidRPr="00A517A2">
              <w:rPr>
                <w:rFonts w:ascii="宋体" w:hAnsi="宋体" w:cs="宋体" w:hint="eastAsia"/>
                <w:kern w:val="0"/>
                <w:szCs w:val="21"/>
              </w:rPr>
              <w:t>级被预警人数</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2014</w:t>
            </w:r>
            <w:r w:rsidRPr="00A517A2">
              <w:rPr>
                <w:rFonts w:ascii="宋体" w:hAnsi="宋体" w:cs="宋体" w:hint="eastAsia"/>
                <w:kern w:val="0"/>
                <w:szCs w:val="21"/>
              </w:rPr>
              <w:t>级总人数</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2014</w:t>
            </w:r>
            <w:r w:rsidRPr="00A517A2">
              <w:rPr>
                <w:rFonts w:ascii="宋体" w:hAnsi="宋体" w:cs="宋体" w:hint="eastAsia"/>
                <w:kern w:val="0"/>
                <w:szCs w:val="21"/>
              </w:rPr>
              <w:t>级被预警人数占</w:t>
            </w:r>
            <w:r w:rsidRPr="00A517A2">
              <w:rPr>
                <w:rFonts w:ascii="宋体" w:hAnsi="宋体" w:cs="宋体"/>
                <w:kern w:val="0"/>
                <w:szCs w:val="21"/>
              </w:rPr>
              <w:t>2014</w:t>
            </w:r>
            <w:r w:rsidRPr="00A517A2">
              <w:rPr>
                <w:rFonts w:ascii="宋体" w:hAnsi="宋体" w:cs="宋体" w:hint="eastAsia"/>
                <w:kern w:val="0"/>
                <w:szCs w:val="21"/>
              </w:rPr>
              <w:t>级总人数百分比</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2015</w:t>
            </w:r>
            <w:r w:rsidRPr="00A517A2">
              <w:rPr>
                <w:rFonts w:ascii="宋体" w:hAnsi="宋体" w:cs="宋体" w:hint="eastAsia"/>
                <w:kern w:val="0"/>
                <w:szCs w:val="21"/>
              </w:rPr>
              <w:t>级被预警人数</w:t>
            </w:r>
          </w:p>
        </w:tc>
        <w:tc>
          <w:tcPr>
            <w:tcW w:w="70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2015</w:t>
            </w:r>
            <w:r w:rsidRPr="00A517A2">
              <w:rPr>
                <w:rFonts w:ascii="宋体" w:hAnsi="宋体" w:cs="宋体" w:hint="eastAsia"/>
                <w:kern w:val="0"/>
                <w:szCs w:val="21"/>
              </w:rPr>
              <w:t>级总人数</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2015</w:t>
            </w:r>
            <w:r w:rsidRPr="00A517A2">
              <w:rPr>
                <w:rFonts w:ascii="宋体" w:hAnsi="宋体" w:cs="宋体" w:hint="eastAsia"/>
                <w:kern w:val="0"/>
                <w:szCs w:val="21"/>
              </w:rPr>
              <w:t>级被预警人数占</w:t>
            </w:r>
            <w:r w:rsidRPr="00A517A2">
              <w:rPr>
                <w:rFonts w:ascii="宋体" w:hAnsi="宋体" w:cs="宋体"/>
                <w:kern w:val="0"/>
                <w:szCs w:val="21"/>
              </w:rPr>
              <w:t>2015</w:t>
            </w:r>
            <w:r w:rsidRPr="00A517A2">
              <w:rPr>
                <w:rFonts w:ascii="宋体" w:hAnsi="宋体" w:cs="宋体" w:hint="eastAsia"/>
                <w:kern w:val="0"/>
                <w:szCs w:val="21"/>
              </w:rPr>
              <w:t>级总人数百分比</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政治与公共管理学院</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95</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1.05%</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10</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330</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3.03%</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12</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350</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3.43%</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420</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0.48%</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经济管理学院</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375</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1.60%</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14</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862</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1.62%</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21</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705</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2.98%</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764</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信息工程学院</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71</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9.86%</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179</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7</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210</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3.33%</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196</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会计学院</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32</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216</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14.81%</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58</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1098</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5.28%</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69</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1137</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6.07%</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1017</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文化传播学院</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36</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177</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20.33%</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14</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311</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4.50%</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12</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264</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4.55%</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256</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0.78%</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外国语学院</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75</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6.67%</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8</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275</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2.91%</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279</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1.08%</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290</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旅游学院</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112</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5</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161</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3.10%</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135</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舞蹈学院</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cs="宋体"/>
                <w:color w:val="000000"/>
                <w:kern w:val="0"/>
                <w:szCs w:val="21"/>
              </w:rPr>
              <w:t>0</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104</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214</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0.93%</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4</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177</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2.26%</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177</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0.56%</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设计艺术学院</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58</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3.45%</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18</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377</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4.77%</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24</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392</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6.12%</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222</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r>
      <w:tr w:rsidR="009A01B4" w:rsidRPr="00474CDD" w:rsidTr="00BF424F">
        <w:trPr>
          <w:trHeight w:val="465"/>
          <w:jc w:val="center"/>
        </w:trPr>
        <w:tc>
          <w:tcPr>
            <w:tcW w:w="1876" w:type="dxa"/>
            <w:tcBorders>
              <w:top w:val="nil"/>
              <w:left w:val="single" w:sz="4" w:space="0" w:color="auto"/>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Pr>
                <w:rFonts w:ascii="宋体" w:hAnsi="宋体" w:cs="宋体" w:hint="eastAsia"/>
                <w:color w:val="000000"/>
                <w:kern w:val="0"/>
                <w:szCs w:val="21"/>
              </w:rPr>
              <w:t>全校</w:t>
            </w:r>
          </w:p>
        </w:tc>
        <w:tc>
          <w:tcPr>
            <w:tcW w:w="96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 xml:space="preserve">89 </w:t>
            </w:r>
          </w:p>
        </w:tc>
        <w:tc>
          <w:tcPr>
            <w:tcW w:w="73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1171</w:t>
            </w:r>
          </w:p>
        </w:tc>
        <w:tc>
          <w:tcPr>
            <w:tcW w:w="1087"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7.60%</w:t>
            </w:r>
          </w:p>
        </w:tc>
        <w:tc>
          <w:tcPr>
            <w:tcW w:w="7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124</w:t>
            </w:r>
          </w:p>
        </w:tc>
        <w:tc>
          <w:tcPr>
            <w:tcW w:w="88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3758</w:t>
            </w:r>
          </w:p>
        </w:tc>
        <w:tc>
          <w:tcPr>
            <w:tcW w:w="104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3.30%</w:t>
            </w:r>
          </w:p>
        </w:tc>
        <w:tc>
          <w:tcPr>
            <w:tcW w:w="79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157</w:t>
            </w:r>
          </w:p>
        </w:tc>
        <w:tc>
          <w:tcPr>
            <w:tcW w:w="861"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3675</w:t>
            </w:r>
          </w:p>
        </w:tc>
        <w:tc>
          <w:tcPr>
            <w:tcW w:w="1179"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4.27%</w:t>
            </w:r>
          </w:p>
        </w:tc>
        <w:tc>
          <w:tcPr>
            <w:tcW w:w="850"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5</w:t>
            </w:r>
          </w:p>
        </w:tc>
        <w:tc>
          <w:tcPr>
            <w:tcW w:w="708"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3677</w:t>
            </w:r>
          </w:p>
        </w:tc>
        <w:tc>
          <w:tcPr>
            <w:tcW w:w="1179"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0.14%</w:t>
            </w:r>
          </w:p>
        </w:tc>
      </w:tr>
    </w:tbl>
    <w:p w:rsidR="009A01B4" w:rsidRDefault="009A01B4" w:rsidP="00CA2179">
      <w:pPr>
        <w:autoSpaceDE w:val="0"/>
        <w:autoSpaceDN w:val="0"/>
        <w:adjustRightInd w:val="0"/>
        <w:spacing w:line="360" w:lineRule="auto"/>
        <w:ind w:firstLine="480"/>
        <w:rPr>
          <w:rFonts w:cs="Calibri"/>
          <w:kern w:val="0"/>
          <w:sz w:val="24"/>
        </w:rPr>
      </w:pPr>
    </w:p>
    <w:p w:rsidR="009A01B4" w:rsidRDefault="009A01B4" w:rsidP="00CA2179">
      <w:pPr>
        <w:autoSpaceDE w:val="0"/>
        <w:autoSpaceDN w:val="0"/>
        <w:adjustRightInd w:val="0"/>
        <w:spacing w:line="360" w:lineRule="auto"/>
        <w:ind w:firstLine="480"/>
        <w:rPr>
          <w:rFonts w:cs="Calibri"/>
          <w:kern w:val="0"/>
          <w:sz w:val="24"/>
        </w:rPr>
      </w:pPr>
    </w:p>
    <w:p w:rsidR="009A01B4" w:rsidRDefault="009A01B4" w:rsidP="00CA2179">
      <w:pPr>
        <w:autoSpaceDE w:val="0"/>
        <w:autoSpaceDN w:val="0"/>
        <w:adjustRightInd w:val="0"/>
        <w:spacing w:line="360" w:lineRule="auto"/>
        <w:rPr>
          <w:rFonts w:cs="Calibri"/>
          <w:kern w:val="0"/>
          <w:sz w:val="24"/>
        </w:rPr>
        <w:sectPr w:rsidR="009A01B4" w:rsidSect="00CA2179">
          <w:pgSz w:w="15840" w:h="12240" w:orient="landscape"/>
          <w:pgMar w:top="1800" w:right="1440" w:bottom="1800" w:left="1440" w:header="720" w:footer="720" w:gutter="0"/>
          <w:cols w:space="720"/>
          <w:noEndnote/>
          <w:docGrid w:linePitch="286"/>
        </w:sectPr>
      </w:pPr>
    </w:p>
    <w:p w:rsidR="009A01B4" w:rsidRPr="00034F24" w:rsidRDefault="009A01B4" w:rsidP="00F37088">
      <w:pPr>
        <w:autoSpaceDE w:val="0"/>
        <w:autoSpaceDN w:val="0"/>
        <w:adjustRightInd w:val="0"/>
        <w:spacing w:line="520" w:lineRule="exact"/>
        <w:ind w:firstLineChars="200" w:firstLine="560"/>
        <w:rPr>
          <w:rFonts w:ascii="仿宋" w:eastAsia="仿宋" w:hAnsi="仿宋" w:cs="Calibri"/>
          <w:kern w:val="0"/>
          <w:sz w:val="28"/>
          <w:szCs w:val="28"/>
        </w:rPr>
      </w:pPr>
      <w:r w:rsidRPr="00034F24">
        <w:rPr>
          <w:rFonts w:ascii="仿宋" w:eastAsia="仿宋" w:hAnsi="仿宋" w:cs="Calibri" w:hint="eastAsia"/>
          <w:kern w:val="0"/>
          <w:sz w:val="28"/>
          <w:szCs w:val="28"/>
        </w:rPr>
        <w:lastRenderedPageBreak/>
        <w:t>（四）达到不同级别预警条件的学生情况</w:t>
      </w:r>
    </w:p>
    <w:p w:rsidR="009A01B4" w:rsidRPr="00034F24" w:rsidRDefault="009A01B4" w:rsidP="00F37088">
      <w:pPr>
        <w:autoSpaceDE w:val="0"/>
        <w:autoSpaceDN w:val="0"/>
        <w:adjustRightInd w:val="0"/>
        <w:spacing w:afterLines="50" w:after="120" w:line="520" w:lineRule="exact"/>
        <w:ind w:firstLineChars="200" w:firstLine="560"/>
        <w:rPr>
          <w:rFonts w:ascii="仿宋" w:eastAsia="仿宋" w:hAnsi="仿宋" w:cs="Calibri"/>
          <w:kern w:val="0"/>
          <w:sz w:val="28"/>
          <w:szCs w:val="28"/>
        </w:rPr>
      </w:pPr>
      <w:r w:rsidRPr="00034F24">
        <w:rPr>
          <w:rFonts w:ascii="仿宋" w:eastAsia="仿宋" w:hAnsi="仿宋" w:cs="Calibri" w:hint="eastAsia"/>
          <w:kern w:val="0"/>
          <w:sz w:val="28"/>
          <w:szCs w:val="28"/>
        </w:rPr>
        <w:t>全校达到预警条件的学生中，黄色预警</w:t>
      </w:r>
      <w:r w:rsidRPr="00034F24">
        <w:rPr>
          <w:rFonts w:ascii="仿宋" w:eastAsia="仿宋" w:hAnsi="仿宋" w:cs="Calibri"/>
          <w:kern w:val="0"/>
          <w:sz w:val="28"/>
          <w:szCs w:val="28"/>
        </w:rPr>
        <w:t>148</w:t>
      </w:r>
      <w:r w:rsidRPr="00034F24">
        <w:rPr>
          <w:rFonts w:ascii="仿宋" w:eastAsia="仿宋" w:hAnsi="仿宋" w:cs="Calibri" w:hint="eastAsia"/>
          <w:kern w:val="0"/>
          <w:sz w:val="28"/>
          <w:szCs w:val="28"/>
        </w:rPr>
        <w:t>人，占被预警学生总数的</w:t>
      </w:r>
      <w:r w:rsidRPr="00034F24">
        <w:rPr>
          <w:rFonts w:ascii="仿宋" w:eastAsia="仿宋" w:hAnsi="仿宋" w:cs="Calibri"/>
          <w:kern w:val="0"/>
          <w:sz w:val="28"/>
          <w:szCs w:val="28"/>
        </w:rPr>
        <w:t>39.47%</w:t>
      </w:r>
      <w:r w:rsidRPr="00034F24">
        <w:rPr>
          <w:rFonts w:ascii="仿宋" w:eastAsia="仿宋" w:hAnsi="仿宋" w:cs="Calibri" w:hint="eastAsia"/>
          <w:kern w:val="0"/>
          <w:sz w:val="28"/>
          <w:szCs w:val="28"/>
        </w:rPr>
        <w:t>；橙色预警</w:t>
      </w:r>
      <w:r w:rsidRPr="00034F24">
        <w:rPr>
          <w:rFonts w:ascii="仿宋" w:eastAsia="仿宋" w:hAnsi="仿宋" w:cs="Calibri"/>
          <w:kern w:val="0"/>
          <w:sz w:val="28"/>
          <w:szCs w:val="28"/>
        </w:rPr>
        <w:t>156</w:t>
      </w:r>
      <w:r w:rsidRPr="00034F24">
        <w:rPr>
          <w:rFonts w:ascii="仿宋" w:eastAsia="仿宋" w:hAnsi="仿宋" w:cs="Calibri" w:hint="eastAsia"/>
          <w:kern w:val="0"/>
          <w:sz w:val="28"/>
          <w:szCs w:val="28"/>
        </w:rPr>
        <w:t>人，占被预警学生总数的</w:t>
      </w:r>
      <w:r w:rsidRPr="00034F24">
        <w:rPr>
          <w:rFonts w:ascii="仿宋" w:eastAsia="仿宋" w:hAnsi="仿宋" w:cs="Calibri"/>
          <w:kern w:val="0"/>
          <w:sz w:val="28"/>
          <w:szCs w:val="28"/>
        </w:rPr>
        <w:t>41.60%</w:t>
      </w:r>
      <w:r w:rsidRPr="00034F24">
        <w:rPr>
          <w:rFonts w:ascii="仿宋" w:eastAsia="仿宋" w:hAnsi="仿宋" w:cs="Calibri" w:hint="eastAsia"/>
          <w:kern w:val="0"/>
          <w:sz w:val="28"/>
          <w:szCs w:val="28"/>
        </w:rPr>
        <w:t>；红色预警</w:t>
      </w:r>
      <w:r w:rsidRPr="00034F24">
        <w:rPr>
          <w:rFonts w:ascii="仿宋" w:eastAsia="仿宋" w:hAnsi="仿宋" w:cs="Calibri"/>
          <w:kern w:val="0"/>
          <w:sz w:val="28"/>
          <w:szCs w:val="28"/>
        </w:rPr>
        <w:t>71</w:t>
      </w:r>
      <w:r w:rsidRPr="00034F24">
        <w:rPr>
          <w:rFonts w:ascii="仿宋" w:eastAsia="仿宋" w:hAnsi="仿宋" w:cs="Calibri" w:hint="eastAsia"/>
          <w:kern w:val="0"/>
          <w:sz w:val="28"/>
          <w:szCs w:val="28"/>
        </w:rPr>
        <w:t>人，占被预警学生总数的</w:t>
      </w:r>
      <w:r w:rsidRPr="00034F24">
        <w:rPr>
          <w:rFonts w:ascii="仿宋" w:eastAsia="仿宋" w:hAnsi="仿宋" w:cs="Calibri"/>
          <w:kern w:val="0"/>
          <w:sz w:val="28"/>
          <w:szCs w:val="28"/>
        </w:rPr>
        <w:t>18.93%</w:t>
      </w:r>
      <w:r w:rsidRPr="00034F24">
        <w:rPr>
          <w:rFonts w:ascii="仿宋" w:eastAsia="仿宋" w:hAnsi="仿宋" w:cs="Calibri" w:hint="eastAsia"/>
          <w:kern w:val="0"/>
          <w:sz w:val="28"/>
          <w:szCs w:val="28"/>
        </w:rPr>
        <w:t>。各学院达到不同预警等级的学生总数和占所在学院学生总数比例具体见表</w:t>
      </w:r>
      <w:r w:rsidRPr="00034F24">
        <w:rPr>
          <w:rFonts w:ascii="仿宋" w:eastAsia="仿宋" w:hAnsi="仿宋" w:cs="Calibri"/>
          <w:kern w:val="0"/>
          <w:sz w:val="28"/>
          <w:szCs w:val="28"/>
        </w:rPr>
        <w:t>4</w:t>
      </w:r>
      <w:r w:rsidRPr="00034F24">
        <w:rPr>
          <w:rFonts w:ascii="仿宋" w:eastAsia="仿宋" w:hAnsi="仿宋" w:cs="Calibri" w:hint="eastAsia"/>
          <w:kern w:val="0"/>
          <w:sz w:val="28"/>
          <w:szCs w:val="28"/>
        </w:rPr>
        <w:t>和图</w:t>
      </w:r>
      <w:r w:rsidRPr="00034F24">
        <w:rPr>
          <w:rFonts w:ascii="仿宋" w:eastAsia="仿宋" w:hAnsi="仿宋" w:cs="Calibri"/>
          <w:kern w:val="0"/>
          <w:sz w:val="28"/>
          <w:szCs w:val="28"/>
        </w:rPr>
        <w:t>4</w:t>
      </w:r>
      <w:r w:rsidRPr="00034F24">
        <w:rPr>
          <w:rFonts w:ascii="仿宋" w:eastAsia="仿宋" w:hAnsi="仿宋" w:cs="Calibri" w:hint="eastAsia"/>
          <w:kern w:val="0"/>
          <w:sz w:val="28"/>
          <w:szCs w:val="28"/>
        </w:rPr>
        <w:t>。通过对比，文化传播学院、设计艺术学院、信息工程学院达到红色预警条件者偏多，需要引起足够的重视，防止学生因不及格课程较多而无法顺利完成学业；文化传播学院、会计学院、设计艺术学院达到</w:t>
      </w:r>
      <w:r>
        <w:rPr>
          <w:rFonts w:ascii="仿宋" w:eastAsia="仿宋" w:hAnsi="仿宋" w:cs="Calibri" w:hint="eastAsia"/>
          <w:kern w:val="0"/>
          <w:sz w:val="28"/>
          <w:szCs w:val="28"/>
        </w:rPr>
        <w:t>橙色预警条件的学生偏多，需要予以充分重视，避免在后期的学习过程</w:t>
      </w:r>
      <w:r w:rsidRPr="00034F24">
        <w:rPr>
          <w:rFonts w:ascii="仿宋" w:eastAsia="仿宋" w:hAnsi="仿宋" w:cs="Calibri" w:hint="eastAsia"/>
          <w:kern w:val="0"/>
          <w:sz w:val="28"/>
          <w:szCs w:val="28"/>
        </w:rPr>
        <w:t>中预警等级进一步严重；会计学院、文化传播学院、设计艺术学院、旅游学院达到黄</w:t>
      </w:r>
      <w:r>
        <w:rPr>
          <w:rFonts w:ascii="仿宋" w:eastAsia="仿宋" w:hAnsi="仿宋" w:cs="Calibri" w:hint="eastAsia"/>
          <w:kern w:val="0"/>
          <w:sz w:val="28"/>
          <w:szCs w:val="28"/>
        </w:rPr>
        <w:t>色预警条件的学生较多，需要学院能积极督促学生加强学习，争取在后续</w:t>
      </w:r>
      <w:r w:rsidRPr="00034F24">
        <w:rPr>
          <w:rFonts w:ascii="仿宋" w:eastAsia="仿宋" w:hAnsi="仿宋" w:cs="Calibri" w:hint="eastAsia"/>
          <w:kern w:val="0"/>
          <w:sz w:val="28"/>
          <w:szCs w:val="28"/>
        </w:rPr>
        <w:t>课程学习过程中取得较好的成绩。</w:t>
      </w:r>
    </w:p>
    <w:tbl>
      <w:tblPr>
        <w:tblW w:w="9309" w:type="dxa"/>
        <w:jc w:val="center"/>
        <w:tblLook w:val="00A0" w:firstRow="1" w:lastRow="0" w:firstColumn="1" w:lastColumn="0" w:noHBand="0" w:noVBand="0"/>
      </w:tblPr>
      <w:tblGrid>
        <w:gridCol w:w="1634"/>
        <w:gridCol w:w="741"/>
        <w:gridCol w:w="990"/>
        <w:gridCol w:w="1274"/>
        <w:gridCol w:w="1132"/>
        <w:gridCol w:w="1274"/>
        <w:gridCol w:w="848"/>
        <w:gridCol w:w="1416"/>
      </w:tblGrid>
      <w:tr w:rsidR="009A01B4" w:rsidRPr="00A517A2" w:rsidTr="003C4BCA">
        <w:trPr>
          <w:trHeight w:val="360"/>
          <w:jc w:val="center"/>
        </w:trPr>
        <w:tc>
          <w:tcPr>
            <w:tcW w:w="9309" w:type="dxa"/>
            <w:gridSpan w:val="8"/>
            <w:tcBorders>
              <w:top w:val="nil"/>
              <w:left w:val="nil"/>
              <w:bottom w:val="nil"/>
              <w:right w:val="nil"/>
            </w:tcBorders>
            <w:noWrap/>
            <w:vAlign w:val="center"/>
          </w:tcPr>
          <w:p w:rsidR="009A01B4" w:rsidRPr="00A517A2" w:rsidRDefault="009A01B4" w:rsidP="00034F24">
            <w:pPr>
              <w:autoSpaceDE w:val="0"/>
              <w:autoSpaceDN w:val="0"/>
              <w:adjustRightInd w:val="0"/>
              <w:jc w:val="center"/>
              <w:rPr>
                <w:rFonts w:ascii="宋体" w:cs="宋体"/>
                <w:color w:val="000000"/>
                <w:kern w:val="0"/>
                <w:sz w:val="24"/>
              </w:rPr>
            </w:pPr>
            <w:r w:rsidRPr="00A517A2">
              <w:rPr>
                <w:rFonts w:ascii="宋体" w:hAnsi="宋体" w:cs="宋体" w:hint="eastAsia"/>
                <w:kern w:val="0"/>
                <w:sz w:val="24"/>
                <w:lang w:val="zh-CN"/>
              </w:rPr>
              <w:t>表</w:t>
            </w:r>
            <w:r w:rsidRPr="00A517A2">
              <w:rPr>
                <w:rFonts w:ascii="宋体" w:hAnsi="宋体" w:cs="宋体"/>
                <w:kern w:val="0"/>
                <w:sz w:val="24"/>
                <w:lang w:val="zh-CN"/>
              </w:rPr>
              <w:t>4  2015-2016</w:t>
            </w:r>
            <w:r w:rsidRPr="00A517A2">
              <w:rPr>
                <w:rFonts w:ascii="宋体" w:hAnsi="宋体" w:cs="宋体" w:hint="eastAsia"/>
                <w:kern w:val="0"/>
                <w:sz w:val="24"/>
                <w:lang w:val="zh-CN"/>
              </w:rPr>
              <w:t>学年第二学期学生学业预警信息统计表（按预警等级统计）</w:t>
            </w:r>
          </w:p>
        </w:tc>
      </w:tr>
      <w:tr w:rsidR="009A01B4" w:rsidRPr="00AE01E7" w:rsidTr="003C4BCA">
        <w:trPr>
          <w:trHeight w:val="1110"/>
          <w:jc w:val="center"/>
        </w:trPr>
        <w:tc>
          <w:tcPr>
            <w:tcW w:w="1638" w:type="dxa"/>
            <w:tcBorders>
              <w:top w:val="single" w:sz="4" w:space="0" w:color="auto"/>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学院名称</w:t>
            </w:r>
          </w:p>
        </w:tc>
        <w:tc>
          <w:tcPr>
            <w:tcW w:w="725"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学生总数</w:t>
            </w:r>
          </w:p>
        </w:tc>
        <w:tc>
          <w:tcPr>
            <w:tcW w:w="992"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黄色预警学生数</w:t>
            </w:r>
          </w:p>
        </w:tc>
        <w:tc>
          <w:tcPr>
            <w:tcW w:w="1276"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hint="eastAsia"/>
                <w:kern w:val="0"/>
                <w:szCs w:val="21"/>
              </w:rPr>
              <w:t>黄色预警学生数占学院学生总数百分比</w:t>
            </w:r>
          </w:p>
        </w:tc>
        <w:tc>
          <w:tcPr>
            <w:tcW w:w="1134"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hint="eastAsia"/>
                <w:kern w:val="0"/>
                <w:szCs w:val="21"/>
              </w:rPr>
              <w:t>橙色预警学生数</w:t>
            </w:r>
          </w:p>
        </w:tc>
        <w:tc>
          <w:tcPr>
            <w:tcW w:w="1276"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hint="eastAsia"/>
                <w:kern w:val="0"/>
                <w:szCs w:val="21"/>
              </w:rPr>
              <w:t>橙色预警学生数占学院学生总数百分比</w:t>
            </w:r>
          </w:p>
        </w:tc>
        <w:tc>
          <w:tcPr>
            <w:tcW w:w="850"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hint="eastAsia"/>
                <w:kern w:val="0"/>
                <w:szCs w:val="21"/>
              </w:rPr>
              <w:t>红色预警学生数</w:t>
            </w:r>
          </w:p>
        </w:tc>
        <w:tc>
          <w:tcPr>
            <w:tcW w:w="1418"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hint="eastAsia"/>
                <w:kern w:val="0"/>
                <w:szCs w:val="21"/>
              </w:rPr>
              <w:t>红色预警学生数占学院学生总数百分比</w:t>
            </w:r>
          </w:p>
        </w:tc>
      </w:tr>
      <w:tr w:rsidR="009A01B4" w:rsidRPr="00AE01E7" w:rsidTr="003C4BCA">
        <w:trPr>
          <w:trHeight w:val="465"/>
          <w:jc w:val="center"/>
        </w:trPr>
        <w:tc>
          <w:tcPr>
            <w:tcW w:w="1638" w:type="dxa"/>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政治与公共管理学院</w:t>
            </w:r>
          </w:p>
        </w:tc>
        <w:tc>
          <w:tcPr>
            <w:tcW w:w="72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1195</w:t>
            </w:r>
          </w:p>
        </w:tc>
        <w:tc>
          <w:tcPr>
            <w:tcW w:w="992"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11</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0.92%</w:t>
            </w:r>
          </w:p>
        </w:tc>
        <w:tc>
          <w:tcPr>
            <w:tcW w:w="113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9</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0.75%</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5</w:t>
            </w:r>
          </w:p>
        </w:tc>
        <w:tc>
          <w:tcPr>
            <w:tcW w:w="141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0.42%</w:t>
            </w:r>
          </w:p>
        </w:tc>
      </w:tr>
      <w:tr w:rsidR="009A01B4" w:rsidRPr="00AE01E7" w:rsidTr="003C4BCA">
        <w:trPr>
          <w:trHeight w:val="465"/>
          <w:jc w:val="center"/>
        </w:trPr>
        <w:tc>
          <w:tcPr>
            <w:tcW w:w="1638" w:type="dxa"/>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经济管理学院</w:t>
            </w:r>
          </w:p>
        </w:tc>
        <w:tc>
          <w:tcPr>
            <w:tcW w:w="72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2706</w:t>
            </w:r>
          </w:p>
        </w:tc>
        <w:tc>
          <w:tcPr>
            <w:tcW w:w="992"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21</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0.78%</w:t>
            </w:r>
          </w:p>
        </w:tc>
        <w:tc>
          <w:tcPr>
            <w:tcW w:w="113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10</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0.37%</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10</w:t>
            </w:r>
          </w:p>
        </w:tc>
        <w:tc>
          <w:tcPr>
            <w:tcW w:w="141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0.37%</w:t>
            </w:r>
          </w:p>
        </w:tc>
      </w:tr>
      <w:tr w:rsidR="009A01B4" w:rsidRPr="00AE01E7" w:rsidTr="003C4BCA">
        <w:trPr>
          <w:trHeight w:val="465"/>
          <w:jc w:val="center"/>
        </w:trPr>
        <w:tc>
          <w:tcPr>
            <w:tcW w:w="1638" w:type="dxa"/>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信息工程学院</w:t>
            </w:r>
          </w:p>
        </w:tc>
        <w:tc>
          <w:tcPr>
            <w:tcW w:w="72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656</w:t>
            </w:r>
          </w:p>
        </w:tc>
        <w:tc>
          <w:tcPr>
            <w:tcW w:w="992"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7</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1.07%</w:t>
            </w:r>
          </w:p>
        </w:tc>
        <w:tc>
          <w:tcPr>
            <w:tcW w:w="113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4</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0.61%</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w:t>
            </w:r>
          </w:p>
        </w:tc>
        <w:tc>
          <w:tcPr>
            <w:tcW w:w="141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0.46%</w:t>
            </w:r>
          </w:p>
        </w:tc>
      </w:tr>
      <w:tr w:rsidR="009A01B4" w:rsidRPr="00AE01E7" w:rsidTr="003C4BCA">
        <w:trPr>
          <w:trHeight w:val="465"/>
          <w:jc w:val="center"/>
        </w:trPr>
        <w:tc>
          <w:tcPr>
            <w:tcW w:w="1638" w:type="dxa"/>
            <w:tcBorders>
              <w:top w:val="single" w:sz="4" w:space="0" w:color="auto"/>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会计学院</w:t>
            </w:r>
          </w:p>
        </w:tc>
        <w:tc>
          <w:tcPr>
            <w:tcW w:w="725"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3468</w:t>
            </w:r>
          </w:p>
        </w:tc>
        <w:tc>
          <w:tcPr>
            <w:tcW w:w="992"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63</w:t>
            </w:r>
          </w:p>
        </w:tc>
        <w:tc>
          <w:tcPr>
            <w:tcW w:w="1276"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1.82%</w:t>
            </w:r>
          </w:p>
        </w:tc>
        <w:tc>
          <w:tcPr>
            <w:tcW w:w="1134"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82</w:t>
            </w:r>
          </w:p>
        </w:tc>
        <w:tc>
          <w:tcPr>
            <w:tcW w:w="1276"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2.36%</w:t>
            </w:r>
          </w:p>
        </w:tc>
        <w:tc>
          <w:tcPr>
            <w:tcW w:w="850"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14</w:t>
            </w:r>
          </w:p>
        </w:tc>
        <w:tc>
          <w:tcPr>
            <w:tcW w:w="1418"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0.40%</w:t>
            </w:r>
          </w:p>
        </w:tc>
      </w:tr>
      <w:tr w:rsidR="009A01B4" w:rsidRPr="00AE01E7" w:rsidTr="003C4BCA">
        <w:trPr>
          <w:trHeight w:val="465"/>
          <w:jc w:val="center"/>
        </w:trPr>
        <w:tc>
          <w:tcPr>
            <w:tcW w:w="1638" w:type="dxa"/>
            <w:tcBorders>
              <w:top w:val="single" w:sz="4" w:space="0" w:color="auto"/>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文化传播学院</w:t>
            </w:r>
          </w:p>
        </w:tc>
        <w:tc>
          <w:tcPr>
            <w:tcW w:w="725" w:type="dxa"/>
            <w:tcBorders>
              <w:top w:val="single" w:sz="4" w:space="0" w:color="auto"/>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1008</w:t>
            </w:r>
          </w:p>
        </w:tc>
        <w:tc>
          <w:tcPr>
            <w:tcW w:w="992"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15</w:t>
            </w:r>
          </w:p>
        </w:tc>
        <w:tc>
          <w:tcPr>
            <w:tcW w:w="1276"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1.49%</w:t>
            </w:r>
          </w:p>
        </w:tc>
        <w:tc>
          <w:tcPr>
            <w:tcW w:w="1134"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25</w:t>
            </w:r>
          </w:p>
        </w:tc>
        <w:tc>
          <w:tcPr>
            <w:tcW w:w="1276"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2.48%</w:t>
            </w:r>
          </w:p>
        </w:tc>
        <w:tc>
          <w:tcPr>
            <w:tcW w:w="850"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24</w:t>
            </w:r>
          </w:p>
        </w:tc>
        <w:tc>
          <w:tcPr>
            <w:tcW w:w="1418" w:type="dxa"/>
            <w:tcBorders>
              <w:top w:val="single" w:sz="4" w:space="0" w:color="auto"/>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2.38%</w:t>
            </w:r>
          </w:p>
        </w:tc>
      </w:tr>
      <w:tr w:rsidR="009A01B4" w:rsidRPr="00AE01E7" w:rsidTr="003C4BCA">
        <w:trPr>
          <w:trHeight w:val="465"/>
          <w:jc w:val="center"/>
        </w:trPr>
        <w:tc>
          <w:tcPr>
            <w:tcW w:w="1638" w:type="dxa"/>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外国语学院</w:t>
            </w:r>
          </w:p>
        </w:tc>
        <w:tc>
          <w:tcPr>
            <w:tcW w:w="72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919</w:t>
            </w:r>
          </w:p>
        </w:tc>
        <w:tc>
          <w:tcPr>
            <w:tcW w:w="992"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0.65%</w:t>
            </w:r>
          </w:p>
        </w:tc>
        <w:tc>
          <w:tcPr>
            <w:tcW w:w="113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7</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0.76%</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3</w:t>
            </w:r>
          </w:p>
        </w:tc>
        <w:tc>
          <w:tcPr>
            <w:tcW w:w="141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0.33%</w:t>
            </w:r>
          </w:p>
        </w:tc>
      </w:tr>
      <w:tr w:rsidR="009A01B4" w:rsidRPr="00AE01E7" w:rsidTr="003C4BCA">
        <w:trPr>
          <w:trHeight w:val="465"/>
          <w:jc w:val="center"/>
        </w:trPr>
        <w:tc>
          <w:tcPr>
            <w:tcW w:w="1638" w:type="dxa"/>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旅游学院</w:t>
            </w:r>
          </w:p>
        </w:tc>
        <w:tc>
          <w:tcPr>
            <w:tcW w:w="72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408</w:t>
            </w:r>
          </w:p>
        </w:tc>
        <w:tc>
          <w:tcPr>
            <w:tcW w:w="992"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5</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1.23%</w:t>
            </w:r>
          </w:p>
        </w:tc>
        <w:tc>
          <w:tcPr>
            <w:tcW w:w="113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141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r>
      <w:tr w:rsidR="009A01B4" w:rsidRPr="00AE01E7" w:rsidTr="003C4BCA">
        <w:trPr>
          <w:trHeight w:val="465"/>
          <w:jc w:val="center"/>
        </w:trPr>
        <w:tc>
          <w:tcPr>
            <w:tcW w:w="1638" w:type="dxa"/>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舞蹈学院</w:t>
            </w:r>
          </w:p>
        </w:tc>
        <w:tc>
          <w:tcPr>
            <w:tcW w:w="72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672</w:t>
            </w:r>
          </w:p>
        </w:tc>
        <w:tc>
          <w:tcPr>
            <w:tcW w:w="992"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3</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0.45%</w:t>
            </w:r>
          </w:p>
        </w:tc>
        <w:tc>
          <w:tcPr>
            <w:tcW w:w="113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4</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0.60%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cs="宋体"/>
                <w:kern w:val="0"/>
                <w:szCs w:val="21"/>
              </w:rPr>
              <w:t>0</w:t>
            </w:r>
          </w:p>
        </w:tc>
        <w:tc>
          <w:tcPr>
            <w:tcW w:w="141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0.00%</w:t>
            </w:r>
          </w:p>
        </w:tc>
      </w:tr>
      <w:tr w:rsidR="009A01B4" w:rsidRPr="00AE01E7" w:rsidTr="003C4BCA">
        <w:trPr>
          <w:trHeight w:val="465"/>
          <w:jc w:val="center"/>
        </w:trPr>
        <w:tc>
          <w:tcPr>
            <w:tcW w:w="1638" w:type="dxa"/>
            <w:tcBorders>
              <w:top w:val="nil"/>
              <w:left w:val="single" w:sz="4" w:space="0" w:color="auto"/>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hint="eastAsia"/>
                <w:color w:val="000000"/>
                <w:kern w:val="0"/>
                <w:szCs w:val="21"/>
              </w:rPr>
              <w:t>设计艺术学院</w:t>
            </w:r>
          </w:p>
        </w:tc>
        <w:tc>
          <w:tcPr>
            <w:tcW w:w="72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1249</w:t>
            </w:r>
          </w:p>
        </w:tc>
        <w:tc>
          <w:tcPr>
            <w:tcW w:w="992"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17</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1.36%</w:t>
            </w:r>
          </w:p>
        </w:tc>
        <w:tc>
          <w:tcPr>
            <w:tcW w:w="113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15</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1.20%</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12</w:t>
            </w:r>
          </w:p>
        </w:tc>
        <w:tc>
          <w:tcPr>
            <w:tcW w:w="141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0.96%</w:t>
            </w:r>
          </w:p>
        </w:tc>
      </w:tr>
      <w:tr w:rsidR="009A01B4" w:rsidRPr="00AE01E7" w:rsidTr="003C4BCA">
        <w:trPr>
          <w:trHeight w:val="465"/>
          <w:jc w:val="center"/>
        </w:trPr>
        <w:tc>
          <w:tcPr>
            <w:tcW w:w="1638" w:type="dxa"/>
            <w:tcBorders>
              <w:top w:val="nil"/>
              <w:left w:val="single" w:sz="4" w:space="0" w:color="auto"/>
              <w:bottom w:val="single" w:sz="4" w:space="0" w:color="auto"/>
              <w:right w:val="single" w:sz="4" w:space="0" w:color="auto"/>
            </w:tcBorders>
            <w:vAlign w:val="center"/>
          </w:tcPr>
          <w:p w:rsidR="009A01B4" w:rsidRPr="00A517A2" w:rsidRDefault="009A01B4" w:rsidP="004042BD">
            <w:pPr>
              <w:widowControl/>
              <w:jc w:val="center"/>
              <w:rPr>
                <w:rFonts w:ascii="宋体" w:cs="宋体"/>
                <w:color w:val="000000"/>
                <w:kern w:val="0"/>
                <w:szCs w:val="21"/>
              </w:rPr>
            </w:pPr>
            <w:r w:rsidRPr="00A517A2">
              <w:rPr>
                <w:rFonts w:ascii="宋体" w:hAnsi="宋体" w:cs="宋体" w:hint="eastAsia"/>
                <w:color w:val="000000"/>
                <w:kern w:val="0"/>
                <w:szCs w:val="21"/>
              </w:rPr>
              <w:t>全校</w:t>
            </w:r>
          </w:p>
        </w:tc>
        <w:tc>
          <w:tcPr>
            <w:tcW w:w="725" w:type="dxa"/>
            <w:tcBorders>
              <w:top w:val="nil"/>
              <w:left w:val="nil"/>
              <w:bottom w:val="single" w:sz="4" w:space="0" w:color="auto"/>
              <w:right w:val="single" w:sz="4" w:space="0" w:color="auto"/>
            </w:tcBorders>
            <w:noWrap/>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12281</w:t>
            </w:r>
          </w:p>
        </w:tc>
        <w:tc>
          <w:tcPr>
            <w:tcW w:w="992"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color w:val="000000"/>
                <w:kern w:val="0"/>
                <w:szCs w:val="21"/>
              </w:rPr>
            </w:pPr>
            <w:r w:rsidRPr="00A517A2">
              <w:rPr>
                <w:rFonts w:ascii="宋体" w:hAnsi="宋体" w:cs="宋体"/>
                <w:color w:val="000000"/>
                <w:kern w:val="0"/>
                <w:szCs w:val="21"/>
              </w:rPr>
              <w:t>148</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1.21%</w:t>
            </w:r>
          </w:p>
        </w:tc>
        <w:tc>
          <w:tcPr>
            <w:tcW w:w="1134"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156</w:t>
            </w:r>
          </w:p>
        </w:tc>
        <w:tc>
          <w:tcPr>
            <w:tcW w:w="1276"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1.27%</w:t>
            </w:r>
          </w:p>
        </w:tc>
        <w:tc>
          <w:tcPr>
            <w:tcW w:w="850"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71</w:t>
            </w:r>
          </w:p>
        </w:tc>
        <w:tc>
          <w:tcPr>
            <w:tcW w:w="1418" w:type="dxa"/>
            <w:tcBorders>
              <w:top w:val="nil"/>
              <w:left w:val="nil"/>
              <w:bottom w:val="single" w:sz="4" w:space="0" w:color="auto"/>
              <w:right w:val="single" w:sz="4" w:space="0" w:color="auto"/>
            </w:tcBorders>
            <w:vAlign w:val="center"/>
          </w:tcPr>
          <w:p w:rsidR="009A01B4" w:rsidRPr="00A517A2" w:rsidRDefault="009A01B4" w:rsidP="00CA2179">
            <w:pPr>
              <w:widowControl/>
              <w:jc w:val="center"/>
              <w:rPr>
                <w:rFonts w:ascii="宋体" w:cs="宋体"/>
                <w:kern w:val="0"/>
                <w:szCs w:val="21"/>
              </w:rPr>
            </w:pPr>
            <w:r w:rsidRPr="00A517A2">
              <w:rPr>
                <w:rFonts w:ascii="宋体" w:hAnsi="宋体" w:cs="宋体"/>
                <w:kern w:val="0"/>
                <w:szCs w:val="21"/>
              </w:rPr>
              <w:t>0.58%</w:t>
            </w:r>
          </w:p>
        </w:tc>
      </w:tr>
    </w:tbl>
    <w:p w:rsidR="009A01B4" w:rsidRDefault="009A01B4" w:rsidP="00CA2179">
      <w:pPr>
        <w:autoSpaceDE w:val="0"/>
        <w:autoSpaceDN w:val="0"/>
        <w:adjustRightInd w:val="0"/>
        <w:spacing w:line="360" w:lineRule="auto"/>
        <w:rPr>
          <w:rFonts w:cs="Calibri"/>
          <w:kern w:val="0"/>
          <w:sz w:val="24"/>
        </w:rPr>
      </w:pPr>
    </w:p>
    <w:p w:rsidR="009A01B4" w:rsidRDefault="00577C92" w:rsidP="00CA2179">
      <w:pPr>
        <w:autoSpaceDE w:val="0"/>
        <w:autoSpaceDN w:val="0"/>
        <w:adjustRightInd w:val="0"/>
        <w:spacing w:line="360" w:lineRule="auto"/>
        <w:rPr>
          <w:rFonts w:cs="Calibri"/>
          <w:kern w:val="0"/>
          <w:sz w:val="24"/>
        </w:rPr>
      </w:pPr>
      <w:r>
        <w:rPr>
          <w:rFonts w:cs="Calibri"/>
          <w:noProof/>
          <w:kern w:val="0"/>
          <w:sz w:val="24"/>
        </w:rPr>
        <w:lastRenderedPageBreak/>
        <w:pict>
          <v:shape id="图片 10" o:spid="_x0000_i1034" type="#_x0000_t75" style="width:434.25pt;height:214.5pt;visibility:visible">
            <v:imagedata r:id="rId20" o:title=""/>
          </v:shape>
        </w:pict>
      </w:r>
    </w:p>
    <w:p w:rsidR="009A01B4" w:rsidRPr="00A517A2" w:rsidRDefault="009A01B4" w:rsidP="00CA2179">
      <w:pPr>
        <w:autoSpaceDE w:val="0"/>
        <w:autoSpaceDN w:val="0"/>
        <w:adjustRightInd w:val="0"/>
        <w:spacing w:line="360" w:lineRule="auto"/>
        <w:ind w:firstLine="480"/>
        <w:jc w:val="center"/>
        <w:rPr>
          <w:rFonts w:ascii="宋体" w:cs="Calibri"/>
          <w:kern w:val="0"/>
          <w:sz w:val="24"/>
        </w:rPr>
      </w:pPr>
      <w:r w:rsidRPr="00A517A2">
        <w:rPr>
          <w:rFonts w:ascii="宋体" w:hAnsi="宋体" w:cs="宋体" w:hint="eastAsia"/>
          <w:kern w:val="0"/>
          <w:sz w:val="24"/>
          <w:lang w:val="zh-CN"/>
        </w:rPr>
        <w:t>图</w:t>
      </w:r>
      <w:r w:rsidRPr="00A517A2">
        <w:rPr>
          <w:rFonts w:ascii="宋体" w:hAnsi="宋体" w:cs="Calibri"/>
          <w:kern w:val="0"/>
          <w:sz w:val="24"/>
        </w:rPr>
        <w:t xml:space="preserve">4 </w:t>
      </w:r>
      <w:r>
        <w:rPr>
          <w:rFonts w:ascii="宋体" w:hAnsi="宋体" w:cs="Calibri"/>
          <w:kern w:val="0"/>
          <w:sz w:val="24"/>
        </w:rPr>
        <w:t xml:space="preserve"> </w:t>
      </w:r>
      <w:r>
        <w:rPr>
          <w:rFonts w:ascii="宋体" w:hAnsi="宋体" w:cs="Calibri" w:hint="eastAsia"/>
          <w:kern w:val="0"/>
          <w:sz w:val="24"/>
        </w:rPr>
        <w:t>各学院预警等级统计图</w:t>
      </w:r>
    </w:p>
    <w:p w:rsidR="009A01B4" w:rsidRPr="00661E79" w:rsidRDefault="009A01B4" w:rsidP="00F37088">
      <w:pPr>
        <w:autoSpaceDE w:val="0"/>
        <w:autoSpaceDN w:val="0"/>
        <w:adjustRightInd w:val="0"/>
        <w:spacing w:line="520" w:lineRule="atLeast"/>
        <w:ind w:firstLineChars="200" w:firstLine="562"/>
        <w:rPr>
          <w:rFonts w:ascii="黑体" w:eastAsia="黑体" w:hAnsi="黑体" w:cs="宋体"/>
          <w:b/>
          <w:kern w:val="0"/>
          <w:sz w:val="28"/>
          <w:szCs w:val="28"/>
          <w:lang w:val="zh-CN"/>
        </w:rPr>
      </w:pPr>
      <w:r w:rsidRPr="00661E79">
        <w:rPr>
          <w:rFonts w:ascii="黑体" w:eastAsia="黑体" w:hAnsi="黑体" w:cs="宋体" w:hint="eastAsia"/>
          <w:b/>
          <w:kern w:val="0"/>
          <w:sz w:val="28"/>
          <w:szCs w:val="28"/>
          <w:lang w:val="zh-CN"/>
        </w:rPr>
        <w:t>二、影响学生学业成绩的主要原因分析</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sidRPr="009A38EB">
        <w:rPr>
          <w:rFonts w:ascii="仿宋" w:eastAsia="仿宋" w:hAnsi="仿宋" w:cs="宋体" w:hint="eastAsia"/>
          <w:kern w:val="0"/>
          <w:sz w:val="28"/>
          <w:szCs w:val="28"/>
          <w:lang w:val="zh-CN"/>
        </w:rPr>
        <w:t>总体来看，旅游学院、舞蹈学院、外国语学院、经济管理学院达到预警条件的学生较少，被预警学生占学院学生总数的比例较低，低于全校平均水平；文化传播学院、会计学院、设计艺术学院被预警学生占学院学生总数的比例偏高，高于全校平均水平。</w:t>
      </w:r>
    </w:p>
    <w:p w:rsidR="009A01B4" w:rsidRPr="009A38EB" w:rsidRDefault="009A01B4" w:rsidP="00F37088">
      <w:pPr>
        <w:autoSpaceDE w:val="0"/>
        <w:autoSpaceDN w:val="0"/>
        <w:adjustRightInd w:val="0"/>
        <w:spacing w:line="520" w:lineRule="atLeast"/>
        <w:ind w:firstLineChars="200" w:firstLine="560"/>
        <w:rPr>
          <w:rFonts w:ascii="仿宋" w:eastAsia="仿宋" w:hAnsi="仿宋" w:cs="Calibri"/>
          <w:kern w:val="0"/>
          <w:sz w:val="28"/>
          <w:szCs w:val="28"/>
        </w:rPr>
      </w:pPr>
      <w:r w:rsidRPr="009A38EB">
        <w:rPr>
          <w:rFonts w:ascii="仿宋" w:eastAsia="仿宋" w:hAnsi="仿宋" w:cs="宋体" w:hint="eastAsia"/>
          <w:kern w:val="0"/>
          <w:sz w:val="28"/>
          <w:szCs w:val="28"/>
          <w:lang w:val="zh-CN"/>
        </w:rPr>
        <w:t>达到预警条件的本科生中，文化传播学院、会计学院、设计艺术学院被预警学生数占本科生总数的比例较高，政治与公共管理学院被预警者占本科生总数的比例较低。达到预警条件</w:t>
      </w:r>
      <w:r>
        <w:rPr>
          <w:rFonts w:ascii="仿宋" w:eastAsia="仿宋" w:hAnsi="仿宋" w:cs="宋体" w:hint="eastAsia"/>
          <w:kern w:val="0"/>
          <w:sz w:val="28"/>
          <w:szCs w:val="28"/>
          <w:lang w:val="zh-CN"/>
        </w:rPr>
        <w:t>的</w:t>
      </w:r>
      <w:r w:rsidRPr="009A38EB">
        <w:rPr>
          <w:rFonts w:ascii="仿宋" w:eastAsia="仿宋" w:hAnsi="仿宋" w:cs="宋体" w:hint="eastAsia"/>
          <w:kern w:val="0"/>
          <w:sz w:val="28"/>
          <w:szCs w:val="28"/>
          <w:lang w:val="zh-CN"/>
        </w:rPr>
        <w:t>专科生中，会计学院、设计艺术学院、信息工程学院、政治与公共管理学院被预警学生数占专科生总数的比例较高，舞蹈学院、文化传播学院、经济管理学院被预警学生数占专科生总数的比例较低。</w:t>
      </w:r>
      <w:r w:rsidRPr="008C7BFA">
        <w:rPr>
          <w:rFonts w:ascii="仿宋" w:eastAsia="仿宋" w:hAnsi="仿宋" w:cs="宋体" w:hint="eastAsia"/>
          <w:kern w:val="0"/>
          <w:sz w:val="28"/>
          <w:szCs w:val="28"/>
          <w:lang w:val="zh-CN"/>
        </w:rPr>
        <w:t>个别专业本科生的被预警人数及预警比例与</w:t>
      </w:r>
      <w:r>
        <w:rPr>
          <w:rFonts w:ascii="仿宋" w:eastAsia="仿宋" w:hAnsi="仿宋" w:cs="宋体" w:hint="eastAsia"/>
          <w:kern w:val="0"/>
          <w:sz w:val="28"/>
          <w:szCs w:val="28"/>
          <w:lang w:val="zh-CN"/>
        </w:rPr>
        <w:t>对应专业</w:t>
      </w:r>
      <w:r w:rsidRPr="008C7BFA">
        <w:rPr>
          <w:rFonts w:ascii="仿宋" w:eastAsia="仿宋" w:hAnsi="仿宋" w:cs="宋体" w:hint="eastAsia"/>
          <w:kern w:val="0"/>
          <w:sz w:val="28"/>
          <w:szCs w:val="28"/>
          <w:lang w:val="zh-CN"/>
        </w:rPr>
        <w:t>专科生不相上下，希望各二级学院及相关职能部门引起重视，进一步加强对本科生学习情况的引导与督促，提高学校整体育人质量。</w:t>
      </w:r>
    </w:p>
    <w:p w:rsidR="009A01B4" w:rsidRPr="009A38EB" w:rsidRDefault="009A01B4" w:rsidP="00F37088">
      <w:pPr>
        <w:autoSpaceDE w:val="0"/>
        <w:autoSpaceDN w:val="0"/>
        <w:adjustRightInd w:val="0"/>
        <w:spacing w:line="520" w:lineRule="atLeast"/>
        <w:ind w:firstLineChars="200" w:firstLine="560"/>
        <w:rPr>
          <w:rFonts w:ascii="仿宋" w:eastAsia="仿宋" w:hAnsi="仿宋" w:cs="Calibri"/>
          <w:kern w:val="0"/>
          <w:sz w:val="28"/>
          <w:szCs w:val="28"/>
        </w:rPr>
      </w:pPr>
      <w:r w:rsidRPr="009A38EB">
        <w:rPr>
          <w:rFonts w:ascii="仿宋" w:eastAsia="仿宋" w:hAnsi="仿宋" w:cs="Calibri"/>
          <w:kern w:val="0"/>
          <w:sz w:val="28"/>
          <w:szCs w:val="28"/>
        </w:rPr>
        <w:t>2012</w:t>
      </w:r>
      <w:r w:rsidRPr="009A38EB">
        <w:rPr>
          <w:rFonts w:ascii="仿宋" w:eastAsia="仿宋" w:hAnsi="仿宋" w:cs="宋体" w:hint="eastAsia"/>
          <w:kern w:val="0"/>
          <w:sz w:val="28"/>
          <w:szCs w:val="28"/>
          <w:lang w:val="zh-CN"/>
        </w:rPr>
        <w:t>级中，文化传播学院、会计学院、信息工程学院达到预警条件学生的比例偏高；</w:t>
      </w:r>
      <w:r w:rsidRPr="009A38EB">
        <w:rPr>
          <w:rFonts w:ascii="仿宋" w:eastAsia="仿宋" w:hAnsi="仿宋" w:cs="Calibri"/>
          <w:kern w:val="0"/>
          <w:sz w:val="28"/>
          <w:szCs w:val="28"/>
        </w:rPr>
        <w:t>2013</w:t>
      </w:r>
      <w:r w:rsidRPr="009A38EB">
        <w:rPr>
          <w:rFonts w:ascii="仿宋" w:eastAsia="仿宋" w:hAnsi="仿宋" w:cs="宋体" w:hint="eastAsia"/>
          <w:kern w:val="0"/>
          <w:sz w:val="28"/>
          <w:szCs w:val="28"/>
          <w:lang w:val="zh-CN"/>
        </w:rPr>
        <w:t>级中，会计学院、设计艺术学院、文化传播学院达到预警条件学生的比例偏高；</w:t>
      </w:r>
      <w:r w:rsidRPr="009A38EB">
        <w:rPr>
          <w:rFonts w:ascii="仿宋" w:eastAsia="仿宋" w:hAnsi="仿宋" w:cs="Calibri"/>
          <w:kern w:val="0"/>
          <w:sz w:val="28"/>
          <w:szCs w:val="28"/>
        </w:rPr>
        <w:t>2014</w:t>
      </w:r>
      <w:r w:rsidRPr="009A38EB">
        <w:rPr>
          <w:rFonts w:ascii="仿宋" w:eastAsia="仿宋" w:hAnsi="仿宋" w:cs="宋体" w:hint="eastAsia"/>
          <w:kern w:val="0"/>
          <w:sz w:val="28"/>
          <w:szCs w:val="28"/>
          <w:lang w:val="zh-CN"/>
        </w:rPr>
        <w:t>级中，设计艺术学院、会计</w:t>
      </w:r>
      <w:r w:rsidRPr="009A38EB">
        <w:rPr>
          <w:rFonts w:ascii="仿宋" w:eastAsia="仿宋" w:hAnsi="仿宋" w:cs="宋体" w:hint="eastAsia"/>
          <w:kern w:val="0"/>
          <w:sz w:val="28"/>
          <w:szCs w:val="28"/>
          <w:lang w:val="zh-CN"/>
        </w:rPr>
        <w:lastRenderedPageBreak/>
        <w:t>学院、文化传播学院达到预警条件学生的比例偏高；</w:t>
      </w:r>
      <w:r w:rsidRPr="009A38EB">
        <w:rPr>
          <w:rFonts w:ascii="仿宋" w:eastAsia="仿宋" w:hAnsi="仿宋" w:cs="Calibri"/>
          <w:kern w:val="0"/>
          <w:sz w:val="28"/>
          <w:szCs w:val="28"/>
        </w:rPr>
        <w:t>2015</w:t>
      </w:r>
      <w:r w:rsidRPr="009A38EB">
        <w:rPr>
          <w:rFonts w:ascii="仿宋" w:eastAsia="仿宋" w:hAnsi="仿宋" w:cs="宋体" w:hint="eastAsia"/>
          <w:kern w:val="0"/>
          <w:sz w:val="28"/>
          <w:szCs w:val="28"/>
          <w:lang w:val="zh-CN"/>
        </w:rPr>
        <w:t>级中，仅有</w:t>
      </w:r>
      <w:r w:rsidRPr="009A38EB">
        <w:rPr>
          <w:rFonts w:ascii="仿宋" w:eastAsia="仿宋" w:hAnsi="仿宋" w:cs="宋体"/>
          <w:kern w:val="0"/>
          <w:sz w:val="28"/>
          <w:szCs w:val="28"/>
          <w:lang w:val="zh-CN"/>
        </w:rPr>
        <w:t>5</w:t>
      </w:r>
      <w:r w:rsidRPr="009A38EB">
        <w:rPr>
          <w:rFonts w:ascii="仿宋" w:eastAsia="仿宋" w:hAnsi="仿宋" w:cs="宋体" w:hint="eastAsia"/>
          <w:kern w:val="0"/>
          <w:sz w:val="28"/>
          <w:szCs w:val="28"/>
          <w:lang w:val="zh-CN"/>
        </w:rPr>
        <w:t>名被预警学生，且分布在三个学院，基本没有可对比性。需要引起注意的是，设计艺术学院、政治与公共管理学院、舞蹈学院达到预警条件学生占同级学生的比例随年级的降低呈明显上升趋势，信息工程学院、文化传播学院、会计学院、外国语学院达到预警条件学生占同级学生的比例随年级的降低呈明显下降趋势，经济管理学院</w:t>
      </w:r>
      <w:r w:rsidRPr="00B853E6">
        <w:rPr>
          <w:rFonts w:ascii="仿宋" w:eastAsia="仿宋" w:hAnsi="仿宋" w:cs="宋体" w:hint="eastAsia"/>
          <w:kern w:val="0"/>
          <w:sz w:val="28"/>
          <w:szCs w:val="28"/>
          <w:lang w:val="zh-CN"/>
        </w:rPr>
        <w:t>处于较低比例的稳定状态。</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sidRPr="009A38EB">
        <w:rPr>
          <w:rFonts w:ascii="仿宋" w:eastAsia="仿宋" w:hAnsi="仿宋" w:cs="宋体" w:hint="eastAsia"/>
          <w:kern w:val="0"/>
          <w:sz w:val="28"/>
          <w:szCs w:val="28"/>
          <w:lang w:val="zh-CN"/>
        </w:rPr>
        <w:t>通过上述分析，我们可以看出：一是学院之间在学风建设方面略有差异，信息工程学院、文化传播学院、会计学院等学院的学风均有明显好转，但个别学院的学风建设仍需进一步加强；</w:t>
      </w:r>
      <w:r w:rsidRPr="008C7BFA">
        <w:rPr>
          <w:rFonts w:ascii="仿宋" w:eastAsia="仿宋" w:hAnsi="仿宋" w:cs="宋体" w:hint="eastAsia"/>
          <w:color w:val="000000"/>
          <w:kern w:val="0"/>
          <w:sz w:val="28"/>
          <w:szCs w:val="28"/>
          <w:lang w:val="zh-CN"/>
        </w:rPr>
        <w:t>二是不同学科</w:t>
      </w:r>
      <w:r>
        <w:rPr>
          <w:rFonts w:ascii="仿宋" w:eastAsia="仿宋" w:hAnsi="仿宋" w:cs="宋体" w:hint="eastAsia"/>
          <w:color w:val="000000"/>
          <w:kern w:val="0"/>
          <w:sz w:val="28"/>
          <w:szCs w:val="28"/>
          <w:lang w:val="zh-CN"/>
        </w:rPr>
        <w:t>门类的专业</w:t>
      </w:r>
      <w:r w:rsidRPr="008C7BFA">
        <w:rPr>
          <w:rFonts w:ascii="仿宋" w:eastAsia="仿宋" w:hAnsi="仿宋" w:cs="宋体" w:hint="eastAsia"/>
          <w:color w:val="000000"/>
          <w:kern w:val="0"/>
          <w:sz w:val="28"/>
          <w:szCs w:val="28"/>
          <w:lang w:val="zh-CN"/>
        </w:rPr>
        <w:t>之间学业预警情况存在明显的差异，如普通文理</w:t>
      </w:r>
      <w:r>
        <w:rPr>
          <w:rFonts w:ascii="仿宋" w:eastAsia="仿宋" w:hAnsi="仿宋" w:cs="宋体" w:hint="eastAsia"/>
          <w:color w:val="000000"/>
          <w:kern w:val="0"/>
          <w:sz w:val="28"/>
          <w:szCs w:val="28"/>
          <w:lang w:val="zh-CN"/>
        </w:rPr>
        <w:t>类专业</w:t>
      </w:r>
      <w:r w:rsidRPr="008C7BFA">
        <w:rPr>
          <w:rFonts w:ascii="仿宋" w:eastAsia="仿宋" w:hAnsi="仿宋" w:cs="宋体" w:hint="eastAsia"/>
          <w:color w:val="000000"/>
          <w:kern w:val="0"/>
          <w:sz w:val="28"/>
          <w:szCs w:val="28"/>
          <w:lang w:val="zh-CN"/>
        </w:rPr>
        <w:t>学生的成绩相对</w:t>
      </w:r>
      <w:r>
        <w:rPr>
          <w:rFonts w:ascii="仿宋" w:eastAsia="仿宋" w:hAnsi="仿宋" w:cs="宋体" w:hint="eastAsia"/>
          <w:color w:val="000000"/>
          <w:kern w:val="0"/>
          <w:sz w:val="28"/>
          <w:szCs w:val="28"/>
          <w:lang w:val="zh-CN"/>
        </w:rPr>
        <w:t>较好</w:t>
      </w:r>
      <w:r w:rsidRPr="008C7BFA">
        <w:rPr>
          <w:rFonts w:ascii="仿宋" w:eastAsia="仿宋" w:hAnsi="仿宋" w:cs="宋体" w:hint="eastAsia"/>
          <w:color w:val="000000"/>
          <w:kern w:val="0"/>
          <w:sz w:val="28"/>
          <w:szCs w:val="28"/>
          <w:lang w:val="zh-CN"/>
        </w:rPr>
        <w:t>，艺术类</w:t>
      </w:r>
      <w:r>
        <w:rPr>
          <w:rFonts w:ascii="仿宋" w:eastAsia="仿宋" w:hAnsi="仿宋" w:cs="宋体" w:hint="eastAsia"/>
          <w:color w:val="000000"/>
          <w:kern w:val="0"/>
          <w:sz w:val="28"/>
          <w:szCs w:val="28"/>
          <w:lang w:val="zh-CN"/>
        </w:rPr>
        <w:t>专业</w:t>
      </w:r>
      <w:r w:rsidRPr="008C7BFA">
        <w:rPr>
          <w:rFonts w:ascii="仿宋" w:eastAsia="仿宋" w:hAnsi="仿宋" w:cs="宋体" w:hint="eastAsia"/>
          <w:color w:val="000000"/>
          <w:kern w:val="0"/>
          <w:sz w:val="28"/>
          <w:szCs w:val="28"/>
          <w:lang w:val="zh-CN"/>
        </w:rPr>
        <w:t>学生的成绩相对较差；三是生源基础</w:t>
      </w:r>
      <w:r>
        <w:rPr>
          <w:rFonts w:ascii="仿宋" w:eastAsia="仿宋" w:hAnsi="仿宋" w:cs="宋体" w:hint="eastAsia"/>
          <w:color w:val="000000"/>
          <w:kern w:val="0"/>
          <w:sz w:val="28"/>
          <w:szCs w:val="28"/>
          <w:lang w:val="zh-CN"/>
        </w:rPr>
        <w:t>存在</w:t>
      </w:r>
      <w:r w:rsidRPr="008C7BFA">
        <w:rPr>
          <w:rFonts w:ascii="仿宋" w:eastAsia="仿宋" w:hAnsi="仿宋" w:cs="宋体" w:hint="eastAsia"/>
          <w:color w:val="000000"/>
          <w:kern w:val="0"/>
          <w:sz w:val="28"/>
          <w:szCs w:val="28"/>
          <w:lang w:val="zh-CN"/>
        </w:rPr>
        <w:t>差异，主要体现在文理兼招的专业中学生对基础课程的学习存在一定的难度，被预警人数较多。</w:t>
      </w:r>
    </w:p>
    <w:p w:rsidR="009A01B4" w:rsidRPr="00661E79" w:rsidRDefault="009A01B4" w:rsidP="00F37088">
      <w:pPr>
        <w:autoSpaceDE w:val="0"/>
        <w:autoSpaceDN w:val="0"/>
        <w:adjustRightInd w:val="0"/>
        <w:spacing w:line="520" w:lineRule="atLeast"/>
        <w:ind w:firstLineChars="200" w:firstLine="562"/>
        <w:rPr>
          <w:rFonts w:ascii="黑体" w:eastAsia="黑体" w:hAnsi="黑体" w:cs="宋体"/>
          <w:b/>
          <w:kern w:val="0"/>
          <w:sz w:val="28"/>
          <w:szCs w:val="28"/>
          <w:lang w:val="zh-CN"/>
        </w:rPr>
      </w:pPr>
      <w:r w:rsidRPr="00661E79">
        <w:rPr>
          <w:rFonts w:ascii="黑体" w:eastAsia="黑体" w:hAnsi="黑体" w:cs="宋体" w:hint="eastAsia"/>
          <w:b/>
          <w:kern w:val="0"/>
          <w:sz w:val="28"/>
          <w:szCs w:val="28"/>
          <w:lang w:val="zh-CN"/>
        </w:rPr>
        <w:t>三、各学院在学业预警工作中的做法</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Pr>
          <w:rFonts w:ascii="仿宋" w:eastAsia="仿宋" w:hAnsi="仿宋" w:cs="宋体" w:hint="eastAsia"/>
          <w:kern w:val="0"/>
          <w:sz w:val="28"/>
          <w:szCs w:val="28"/>
          <w:lang w:val="zh-CN"/>
        </w:rPr>
        <w:t>总结</w:t>
      </w:r>
      <w:r w:rsidRPr="00C1000E">
        <w:rPr>
          <w:rFonts w:ascii="仿宋" w:eastAsia="仿宋" w:hAnsi="仿宋" w:cs="宋体" w:hint="eastAsia"/>
          <w:kern w:val="0"/>
          <w:sz w:val="28"/>
          <w:szCs w:val="28"/>
          <w:lang w:val="zh-CN"/>
        </w:rPr>
        <w:t>各学院开展的学业预警工作</w:t>
      </w:r>
      <w:r>
        <w:rPr>
          <w:rFonts w:ascii="仿宋" w:eastAsia="仿宋" w:hAnsi="仿宋" w:cs="宋体" w:hint="eastAsia"/>
          <w:kern w:val="0"/>
          <w:sz w:val="28"/>
          <w:szCs w:val="28"/>
          <w:lang w:val="zh-CN"/>
        </w:rPr>
        <w:t>，可以</w:t>
      </w:r>
      <w:r w:rsidRPr="00C1000E">
        <w:rPr>
          <w:rFonts w:ascii="仿宋" w:eastAsia="仿宋" w:hAnsi="仿宋" w:cs="宋体" w:hint="eastAsia"/>
          <w:kern w:val="0"/>
          <w:sz w:val="28"/>
          <w:szCs w:val="28"/>
          <w:lang w:val="zh-CN"/>
        </w:rPr>
        <w:t>发现</w:t>
      </w:r>
      <w:r w:rsidRPr="009A38EB">
        <w:rPr>
          <w:rFonts w:ascii="仿宋" w:eastAsia="仿宋" w:hAnsi="仿宋" w:cs="宋体" w:hint="eastAsia"/>
          <w:kern w:val="0"/>
          <w:sz w:val="28"/>
          <w:szCs w:val="28"/>
          <w:lang w:val="zh-CN"/>
        </w:rPr>
        <w:t>：各二级学院都非常重视学生学业预警工作，积极组织排查被预警学生信息，组织教师进行对口帮扶，</w:t>
      </w:r>
      <w:r>
        <w:rPr>
          <w:rFonts w:ascii="仿宋" w:eastAsia="仿宋" w:hAnsi="仿宋" w:cs="宋体" w:hint="eastAsia"/>
          <w:kern w:val="0"/>
          <w:sz w:val="28"/>
          <w:szCs w:val="28"/>
          <w:lang w:val="zh-CN"/>
        </w:rPr>
        <w:t>分析总结</w:t>
      </w:r>
      <w:r w:rsidRPr="009A38EB">
        <w:rPr>
          <w:rFonts w:ascii="仿宋" w:eastAsia="仿宋" w:hAnsi="仿宋" w:cs="宋体" w:hint="eastAsia"/>
          <w:kern w:val="0"/>
          <w:sz w:val="28"/>
          <w:szCs w:val="28"/>
          <w:lang w:val="zh-CN"/>
        </w:rPr>
        <w:t>前后两个学期学生学业预警的情况，并安排教师督促学生加强后续的学习。各学院主要采取了如下做法：</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sidRPr="009A38EB">
        <w:rPr>
          <w:rFonts w:ascii="仿宋" w:eastAsia="仿宋" w:hAnsi="仿宋" w:cs="宋体"/>
          <w:kern w:val="0"/>
          <w:sz w:val="28"/>
          <w:szCs w:val="28"/>
          <w:lang w:val="zh-CN"/>
        </w:rPr>
        <w:t>1.</w:t>
      </w:r>
      <w:r w:rsidRPr="009A38EB">
        <w:rPr>
          <w:rFonts w:ascii="仿宋" w:eastAsia="仿宋" w:hAnsi="仿宋" w:cs="宋体" w:hint="eastAsia"/>
          <w:kern w:val="0"/>
          <w:sz w:val="28"/>
          <w:szCs w:val="28"/>
          <w:lang w:val="zh-CN"/>
        </w:rPr>
        <w:t>高度重视，多渠道宣传。政治与公共管理学院、经济管理学院充分重视学生学业预警管理工作，通过辅导员例会、班会、宣传栏张贴、</w:t>
      </w:r>
      <w:r w:rsidRPr="009A38EB">
        <w:rPr>
          <w:rFonts w:ascii="仿宋" w:eastAsia="仿宋" w:hAnsi="仿宋" w:cs="宋体"/>
          <w:kern w:val="0"/>
          <w:sz w:val="28"/>
          <w:szCs w:val="28"/>
          <w:lang w:val="zh-CN"/>
        </w:rPr>
        <w:t>QQ</w:t>
      </w:r>
      <w:r w:rsidRPr="009A38EB">
        <w:rPr>
          <w:rFonts w:ascii="仿宋" w:eastAsia="仿宋" w:hAnsi="仿宋" w:cs="宋体" w:hint="eastAsia"/>
          <w:kern w:val="0"/>
          <w:sz w:val="28"/>
          <w:szCs w:val="28"/>
          <w:lang w:val="zh-CN"/>
        </w:rPr>
        <w:t>群等方式组织相关老师和全体学生认真学习《山</w:t>
      </w:r>
      <w:r>
        <w:rPr>
          <w:rFonts w:ascii="仿宋" w:eastAsia="仿宋" w:hAnsi="仿宋" w:cs="宋体" w:hint="eastAsia"/>
          <w:kern w:val="0"/>
          <w:sz w:val="28"/>
          <w:szCs w:val="28"/>
          <w:lang w:val="zh-CN"/>
        </w:rPr>
        <w:t>东青年政治学院全日制普通本科学生学业预警管理办法》。通过学习，</w:t>
      </w:r>
      <w:r w:rsidRPr="009A38EB">
        <w:rPr>
          <w:rFonts w:ascii="仿宋" w:eastAsia="仿宋" w:hAnsi="仿宋" w:cs="宋体" w:hint="eastAsia"/>
          <w:kern w:val="0"/>
          <w:sz w:val="28"/>
          <w:szCs w:val="28"/>
          <w:lang w:val="zh-CN"/>
        </w:rPr>
        <w:t>大家充分认识到学业预警不是处分，而是一种严肃的学业警示</w:t>
      </w:r>
      <w:r>
        <w:rPr>
          <w:rFonts w:ascii="仿宋" w:eastAsia="仿宋" w:hAnsi="仿宋" w:cs="宋体" w:hint="eastAsia"/>
          <w:kern w:val="0"/>
          <w:sz w:val="28"/>
          <w:szCs w:val="28"/>
          <w:lang w:val="zh-CN"/>
        </w:rPr>
        <w:t>。学业预警是一种</w:t>
      </w:r>
      <w:r w:rsidRPr="009A38EB">
        <w:rPr>
          <w:rFonts w:ascii="仿宋" w:eastAsia="仿宋" w:hAnsi="仿宋" w:cs="宋体" w:hint="eastAsia"/>
          <w:kern w:val="0"/>
          <w:sz w:val="28"/>
          <w:szCs w:val="28"/>
          <w:lang w:val="zh-CN"/>
        </w:rPr>
        <w:t>对学生可能或已经发生的学习问题和学业困难进行警示，告知学生本人及家长可能产生的不良后果，并有针对性地采取相应的补救和防范</w:t>
      </w:r>
      <w:r w:rsidRPr="009A38EB">
        <w:rPr>
          <w:rFonts w:ascii="仿宋" w:eastAsia="仿宋" w:hAnsi="仿宋" w:cs="宋体" w:hint="eastAsia"/>
          <w:kern w:val="0"/>
          <w:sz w:val="28"/>
          <w:szCs w:val="28"/>
          <w:lang w:val="zh-CN"/>
        </w:rPr>
        <w:lastRenderedPageBreak/>
        <w:t>措施，帮助学生完成学业的危机干预制度。</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sidRPr="009A38EB">
        <w:rPr>
          <w:rFonts w:ascii="仿宋" w:eastAsia="仿宋" w:hAnsi="仿宋" w:cs="宋体"/>
          <w:kern w:val="0"/>
          <w:sz w:val="28"/>
          <w:szCs w:val="28"/>
          <w:lang w:val="zh-CN"/>
        </w:rPr>
        <w:t>2.</w:t>
      </w:r>
      <w:r w:rsidRPr="009A38EB">
        <w:rPr>
          <w:rFonts w:ascii="仿宋" w:eastAsia="仿宋" w:hAnsi="仿宋" w:cs="宋体" w:hint="eastAsia"/>
          <w:kern w:val="0"/>
          <w:sz w:val="28"/>
          <w:szCs w:val="28"/>
          <w:lang w:val="zh-CN"/>
        </w:rPr>
        <w:t>实施全过程管理。会计学院、经济管理学院在预警过程中实施全过程管理</w:t>
      </w:r>
      <w:r>
        <w:rPr>
          <w:rFonts w:ascii="仿宋" w:eastAsia="仿宋" w:hAnsi="仿宋" w:cs="宋体" w:hint="eastAsia"/>
          <w:kern w:val="0"/>
          <w:sz w:val="28"/>
          <w:szCs w:val="28"/>
          <w:lang w:val="zh-CN"/>
        </w:rPr>
        <w:t>，</w:t>
      </w:r>
      <w:r w:rsidRPr="009A38EB">
        <w:rPr>
          <w:rFonts w:ascii="仿宋" w:eastAsia="仿宋" w:hAnsi="仿宋" w:cs="宋体" w:hint="eastAsia"/>
          <w:kern w:val="0"/>
          <w:sz w:val="28"/>
          <w:szCs w:val="28"/>
          <w:lang w:val="zh-CN"/>
        </w:rPr>
        <w:t>包括事前预警、事中预警和事后预警。事前预警就是“预”字当先。一是对即将达到预警级别的学生，在期末考试前，找他们谈</w:t>
      </w:r>
      <w:r>
        <w:rPr>
          <w:rFonts w:ascii="仿宋" w:eastAsia="仿宋" w:hAnsi="仿宋" w:cs="宋体" w:hint="eastAsia"/>
          <w:kern w:val="0"/>
          <w:sz w:val="28"/>
          <w:szCs w:val="28"/>
          <w:lang w:val="zh-CN"/>
        </w:rPr>
        <w:t>话，帮助他们端正学习态度、积极复习迎考；二是新学期补考前，做到</w:t>
      </w:r>
      <w:r w:rsidRPr="009A38EB">
        <w:rPr>
          <w:rFonts w:ascii="仿宋" w:eastAsia="仿宋" w:hAnsi="仿宋" w:cs="宋体" w:hint="eastAsia"/>
          <w:kern w:val="0"/>
          <w:sz w:val="28"/>
          <w:szCs w:val="28"/>
          <w:lang w:val="zh-CN"/>
        </w:rPr>
        <w:t>和每位补考学生谈一次心，帮助他们正确认识补考现象，解决心理过重负担，争取按时完成规定学业要求。事中预警就是对问题学生进行现场预警，面对面实时预警，确保“警”</w:t>
      </w:r>
      <w:proofErr w:type="gramStart"/>
      <w:r w:rsidRPr="009A38EB">
        <w:rPr>
          <w:rFonts w:ascii="仿宋" w:eastAsia="仿宋" w:hAnsi="仿宋" w:cs="宋体" w:hint="eastAsia"/>
          <w:kern w:val="0"/>
          <w:sz w:val="28"/>
          <w:szCs w:val="28"/>
          <w:lang w:val="zh-CN"/>
        </w:rPr>
        <w:t>字及时</w:t>
      </w:r>
      <w:proofErr w:type="gramEnd"/>
      <w:r w:rsidRPr="009A38EB">
        <w:rPr>
          <w:rFonts w:ascii="仿宋" w:eastAsia="仿宋" w:hAnsi="仿宋" w:cs="宋体" w:hint="eastAsia"/>
          <w:kern w:val="0"/>
          <w:sz w:val="28"/>
          <w:szCs w:val="28"/>
          <w:lang w:val="zh-CN"/>
        </w:rPr>
        <w:t>到位。要求每位辅导员对所有预警学生进行</w:t>
      </w:r>
      <w:r>
        <w:rPr>
          <w:rFonts w:ascii="仿宋" w:eastAsia="仿宋" w:hAnsi="仿宋" w:cs="宋体" w:hint="eastAsia"/>
          <w:kern w:val="0"/>
          <w:sz w:val="28"/>
          <w:szCs w:val="28"/>
          <w:lang w:val="zh-CN"/>
        </w:rPr>
        <w:t>教育</w:t>
      </w:r>
      <w:r w:rsidRPr="009A38EB">
        <w:rPr>
          <w:rFonts w:ascii="仿宋" w:eastAsia="仿宋" w:hAnsi="仿宋" w:cs="宋体" w:hint="eastAsia"/>
          <w:kern w:val="0"/>
          <w:sz w:val="28"/>
          <w:szCs w:val="28"/>
          <w:lang w:val="zh-CN"/>
        </w:rPr>
        <w:t>，并与其家长进行联系沟通。事后预警就是为防止问题再次发生，即对预警问题举一反三，对预警学生跟踪帮扶，提醒全体学生要引以为戒。</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Pr>
          <w:rFonts w:ascii="仿宋" w:eastAsia="仿宋" w:hAnsi="仿宋" w:cs="宋体"/>
          <w:kern w:val="0"/>
          <w:sz w:val="28"/>
          <w:szCs w:val="28"/>
          <w:lang w:val="zh-CN"/>
        </w:rPr>
        <w:t>3.</w:t>
      </w:r>
      <w:r w:rsidRPr="009A38EB">
        <w:rPr>
          <w:rFonts w:ascii="仿宋" w:eastAsia="仿宋" w:hAnsi="仿宋" w:cs="宋体" w:hint="eastAsia"/>
          <w:kern w:val="0"/>
          <w:sz w:val="28"/>
          <w:szCs w:val="28"/>
          <w:lang w:val="zh-CN"/>
        </w:rPr>
        <w:t>进行个性化疏导及专业辅导。学业预警中影响最大的潜在问</w:t>
      </w:r>
      <w:r>
        <w:rPr>
          <w:rFonts w:ascii="仿宋" w:eastAsia="仿宋" w:hAnsi="仿宋" w:cs="宋体" w:hint="eastAsia"/>
          <w:kern w:val="0"/>
          <w:sz w:val="28"/>
          <w:szCs w:val="28"/>
          <w:lang w:val="zh-CN"/>
        </w:rPr>
        <w:t>题是学生的心理问题，会计学院要求辅导员对出现心理问题的学生进行</w:t>
      </w:r>
      <w:r w:rsidRPr="009A38EB">
        <w:rPr>
          <w:rFonts w:ascii="仿宋" w:eastAsia="仿宋" w:hAnsi="仿宋" w:cs="宋体" w:hint="eastAsia"/>
          <w:kern w:val="0"/>
          <w:sz w:val="28"/>
          <w:szCs w:val="28"/>
          <w:lang w:val="zh-CN"/>
        </w:rPr>
        <w:t>个性</w:t>
      </w:r>
      <w:r>
        <w:rPr>
          <w:rFonts w:ascii="仿宋" w:eastAsia="仿宋" w:hAnsi="仿宋" w:cs="宋体" w:hint="eastAsia"/>
          <w:kern w:val="0"/>
          <w:sz w:val="28"/>
          <w:szCs w:val="28"/>
          <w:lang w:val="zh-CN"/>
        </w:rPr>
        <w:t>化</w:t>
      </w:r>
      <w:r w:rsidRPr="009A38EB">
        <w:rPr>
          <w:rFonts w:ascii="仿宋" w:eastAsia="仿宋" w:hAnsi="仿宋" w:cs="宋体" w:hint="eastAsia"/>
          <w:kern w:val="0"/>
          <w:sz w:val="28"/>
          <w:szCs w:val="28"/>
          <w:lang w:val="zh-CN"/>
        </w:rPr>
        <w:t>疏导，对不同的学生采用差别化的方法。政治与公共管理</w:t>
      </w:r>
      <w:r>
        <w:rPr>
          <w:rFonts w:ascii="仿宋" w:eastAsia="仿宋" w:hAnsi="仿宋" w:cs="宋体" w:hint="eastAsia"/>
          <w:kern w:val="0"/>
          <w:sz w:val="28"/>
          <w:szCs w:val="28"/>
          <w:lang w:val="zh-CN"/>
        </w:rPr>
        <w:t>学院</w:t>
      </w:r>
      <w:r w:rsidRPr="009A38EB">
        <w:rPr>
          <w:rFonts w:ascii="仿宋" w:eastAsia="仿宋" w:hAnsi="仿宋" w:cs="宋体" w:hint="eastAsia"/>
          <w:kern w:val="0"/>
          <w:sz w:val="28"/>
          <w:szCs w:val="28"/>
          <w:lang w:val="zh-CN"/>
        </w:rPr>
        <w:t>安排班主任与学生面对面沟通，了解学生近期学习、生活状况并对不同的学生拟定个性化辅导方案，对学生多关心、多帮助，引导、督促学生努力学习。文化传播学院安排专业教师从课程和专业角度与学生进行谈话，给学生以学习上的帮助和精神上的鼓励，合理引导学生认识自身问题，不断改进自身不足，进而找到适合自己的学习方法。</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Pr>
          <w:rFonts w:ascii="仿宋" w:eastAsia="仿宋" w:hAnsi="仿宋" w:cs="宋体"/>
          <w:kern w:val="0"/>
          <w:sz w:val="28"/>
          <w:szCs w:val="28"/>
          <w:lang w:val="zh-CN"/>
        </w:rPr>
        <w:t>4.</w:t>
      </w:r>
      <w:r w:rsidRPr="009A38EB">
        <w:rPr>
          <w:rFonts w:ascii="仿宋" w:eastAsia="仿宋" w:hAnsi="仿宋" w:cs="宋体" w:hint="eastAsia"/>
          <w:kern w:val="0"/>
          <w:sz w:val="28"/>
          <w:szCs w:val="28"/>
          <w:lang w:val="zh-CN"/>
        </w:rPr>
        <w:t>帮助学生制定学习计划并督促执行。</w:t>
      </w:r>
      <w:r w:rsidRPr="000A5B0F">
        <w:rPr>
          <w:rFonts w:ascii="仿宋" w:eastAsia="仿宋" w:hAnsi="仿宋" w:cs="宋体" w:hint="eastAsia"/>
          <w:kern w:val="0"/>
          <w:sz w:val="28"/>
          <w:szCs w:val="28"/>
          <w:lang w:val="zh-CN"/>
        </w:rPr>
        <w:t>经济管理学院、会计学院等</w:t>
      </w:r>
      <w:r w:rsidRPr="009A38EB">
        <w:rPr>
          <w:rFonts w:ascii="仿宋" w:eastAsia="仿宋" w:hAnsi="仿宋" w:cs="宋体" w:hint="eastAsia"/>
          <w:kern w:val="0"/>
          <w:sz w:val="28"/>
          <w:szCs w:val="28"/>
          <w:lang w:val="zh-CN"/>
        </w:rPr>
        <w:t>帮助学生根据谈话情况制定《学习计划书》，交由班主任暂为保管，落实教师对学生进行学业辅导，并定期检查辅导情况，学期结束时将辅导情况进行总结与交流。</w:t>
      </w:r>
    </w:p>
    <w:p w:rsidR="009A01B4" w:rsidRPr="009A38EB" w:rsidRDefault="009A01B4" w:rsidP="00F37088">
      <w:pPr>
        <w:spacing w:line="520" w:lineRule="atLeast"/>
        <w:ind w:firstLineChars="200" w:firstLine="560"/>
        <w:rPr>
          <w:rFonts w:ascii="仿宋" w:eastAsia="仿宋" w:hAnsi="仿宋" w:cs="宋体"/>
          <w:sz w:val="28"/>
          <w:szCs w:val="28"/>
        </w:rPr>
      </w:pPr>
      <w:r w:rsidRPr="009A38EB">
        <w:rPr>
          <w:rFonts w:ascii="仿宋" w:eastAsia="仿宋" w:hAnsi="仿宋" w:cs="宋体"/>
          <w:kern w:val="0"/>
          <w:sz w:val="28"/>
          <w:szCs w:val="28"/>
          <w:lang w:val="zh-CN"/>
        </w:rPr>
        <w:t>5.</w:t>
      </w:r>
      <w:r w:rsidRPr="009A38EB">
        <w:rPr>
          <w:rFonts w:ascii="仿宋" w:eastAsia="仿宋" w:hAnsi="仿宋" w:cs="宋体" w:hint="eastAsia"/>
          <w:sz w:val="28"/>
          <w:szCs w:val="28"/>
        </w:rPr>
        <w:t>建立学校和家长的协同联动机制。学生很少愿意</w:t>
      </w:r>
      <w:r>
        <w:rPr>
          <w:rFonts w:ascii="仿宋" w:eastAsia="仿宋" w:hAnsi="仿宋" w:cs="宋体" w:hint="eastAsia"/>
          <w:sz w:val="28"/>
          <w:szCs w:val="28"/>
        </w:rPr>
        <w:t>告诉家长自己的学习成绩</w:t>
      </w:r>
      <w:r w:rsidRPr="009A38EB">
        <w:rPr>
          <w:rFonts w:ascii="仿宋" w:eastAsia="仿宋" w:hAnsi="仿宋" w:cs="宋体" w:hint="eastAsia"/>
          <w:sz w:val="28"/>
          <w:szCs w:val="28"/>
        </w:rPr>
        <w:t>，文化传播学院、信息工程学院、旅游学院、舞蹈学院等通过班主任的及时</w:t>
      </w:r>
      <w:proofErr w:type="gramStart"/>
      <w:r w:rsidRPr="009A38EB">
        <w:rPr>
          <w:rFonts w:ascii="仿宋" w:eastAsia="仿宋" w:hAnsi="仿宋" w:cs="宋体" w:hint="eastAsia"/>
          <w:sz w:val="28"/>
          <w:szCs w:val="28"/>
        </w:rPr>
        <w:t>沟通让</w:t>
      </w:r>
      <w:proofErr w:type="gramEnd"/>
      <w:r w:rsidRPr="009A38EB">
        <w:rPr>
          <w:rFonts w:ascii="仿宋" w:eastAsia="仿宋" w:hAnsi="仿宋" w:cs="宋体" w:hint="eastAsia"/>
          <w:sz w:val="28"/>
          <w:szCs w:val="28"/>
        </w:rPr>
        <w:t>家长更好地了解学生的状况。通过学院与家</w:t>
      </w:r>
      <w:r w:rsidRPr="009A38EB">
        <w:rPr>
          <w:rFonts w:ascii="仿宋" w:eastAsia="仿宋" w:hAnsi="仿宋" w:cs="宋体" w:hint="eastAsia"/>
          <w:sz w:val="28"/>
          <w:szCs w:val="28"/>
        </w:rPr>
        <w:lastRenderedPageBreak/>
        <w:t>长的沟通，一方面给了学生心理压力，另一方面有助于学校和家长形成联动机制，让家长也参与到引导学生学习的过程中。在学业预警工作中，建立学校和家长的协同联动机制，形成</w:t>
      </w:r>
      <w:r w:rsidRPr="009A38EB">
        <w:rPr>
          <w:rFonts w:ascii="仿宋" w:eastAsia="仿宋" w:hAnsi="仿宋" w:cs="??_GB2312"/>
          <w:sz w:val="28"/>
          <w:szCs w:val="28"/>
        </w:rPr>
        <w:t>1+1</w:t>
      </w:r>
      <w:r w:rsidRPr="009A38EB">
        <w:rPr>
          <w:rFonts w:ascii="仿宋" w:eastAsia="仿宋" w:hAnsi="仿宋" w:cs="宋体" w:hint="eastAsia"/>
          <w:sz w:val="28"/>
          <w:szCs w:val="28"/>
        </w:rPr>
        <w:t>＞</w:t>
      </w:r>
      <w:r w:rsidRPr="009A38EB">
        <w:rPr>
          <w:rFonts w:ascii="仿宋" w:eastAsia="仿宋" w:hAnsi="仿宋" w:cs="??_GB2312"/>
          <w:sz w:val="28"/>
          <w:szCs w:val="28"/>
        </w:rPr>
        <w:t xml:space="preserve">2 </w:t>
      </w:r>
      <w:r w:rsidRPr="009A38EB">
        <w:rPr>
          <w:rFonts w:ascii="仿宋" w:eastAsia="仿宋" w:hAnsi="仿宋" w:cs="宋体" w:hint="eastAsia"/>
          <w:sz w:val="28"/>
          <w:szCs w:val="28"/>
        </w:rPr>
        <w:t>的合力，推动学生在学业上不断进步。</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sidRPr="009A38EB">
        <w:rPr>
          <w:rFonts w:ascii="仿宋" w:eastAsia="仿宋" w:hAnsi="仿宋" w:cs="宋体" w:hint="eastAsia"/>
          <w:kern w:val="0"/>
          <w:sz w:val="28"/>
          <w:szCs w:val="28"/>
          <w:lang w:val="zh-CN"/>
        </w:rPr>
        <w:t>从文化传播学院、会计学院、政治与公共管理学院等学院对本次学业预警工作的总结来看，学业预警对学风建设、学生学习成绩的提升是有明显效果的。如文化传播学院</w:t>
      </w:r>
      <w:r>
        <w:rPr>
          <w:rFonts w:ascii="仿宋" w:eastAsia="仿宋" w:hAnsi="仿宋" w:cs="宋体" w:hint="eastAsia"/>
          <w:kern w:val="0"/>
          <w:sz w:val="28"/>
          <w:szCs w:val="28"/>
          <w:lang w:val="zh-CN"/>
        </w:rPr>
        <w:t>、舞蹈学院、旅游学院</w:t>
      </w:r>
      <w:r w:rsidRPr="009A38EB">
        <w:rPr>
          <w:rFonts w:ascii="仿宋" w:eastAsia="仿宋" w:hAnsi="仿宋" w:cs="宋体" w:hint="eastAsia"/>
          <w:kern w:val="0"/>
          <w:sz w:val="28"/>
          <w:szCs w:val="28"/>
          <w:lang w:val="zh-CN"/>
        </w:rPr>
        <w:t>等共</w:t>
      </w:r>
      <w:r>
        <w:rPr>
          <w:rFonts w:ascii="仿宋" w:eastAsia="仿宋" w:hAnsi="仿宋" w:cs="宋体" w:hint="eastAsia"/>
          <w:kern w:val="0"/>
          <w:sz w:val="28"/>
          <w:szCs w:val="28"/>
          <w:lang w:val="zh-CN"/>
        </w:rPr>
        <w:t>有</w:t>
      </w:r>
      <w:r w:rsidRPr="009A38EB">
        <w:rPr>
          <w:rFonts w:ascii="仿宋" w:eastAsia="仿宋" w:hAnsi="仿宋" w:cs="宋体" w:hint="eastAsia"/>
          <w:kern w:val="0"/>
          <w:sz w:val="28"/>
          <w:szCs w:val="28"/>
          <w:lang w:val="zh-CN"/>
        </w:rPr>
        <w:t>几十名学生经过一个学期的努力，解除了上学期的黄色等级预警或者由先前的橙色等级预警降为黄色等级预警。</w:t>
      </w:r>
    </w:p>
    <w:p w:rsidR="009A01B4" w:rsidRPr="00661E79" w:rsidRDefault="009A01B4" w:rsidP="00F37088">
      <w:pPr>
        <w:autoSpaceDE w:val="0"/>
        <w:autoSpaceDN w:val="0"/>
        <w:adjustRightInd w:val="0"/>
        <w:spacing w:line="520" w:lineRule="atLeast"/>
        <w:ind w:firstLineChars="200" w:firstLine="562"/>
        <w:rPr>
          <w:rFonts w:ascii="黑体" w:eastAsia="黑体" w:hAnsi="黑体" w:cs="宋体"/>
          <w:b/>
          <w:kern w:val="0"/>
          <w:sz w:val="28"/>
          <w:szCs w:val="28"/>
          <w:lang w:val="zh-CN"/>
        </w:rPr>
      </w:pPr>
      <w:r w:rsidRPr="00661E79">
        <w:rPr>
          <w:rFonts w:ascii="黑体" w:eastAsia="黑体" w:hAnsi="黑体" w:cs="宋体" w:hint="eastAsia"/>
          <w:b/>
          <w:kern w:val="0"/>
          <w:sz w:val="28"/>
          <w:szCs w:val="28"/>
          <w:lang w:val="zh-CN"/>
        </w:rPr>
        <w:t>四、改进学生学习状况的建议和措施</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sidRPr="009A38EB">
        <w:rPr>
          <w:rFonts w:ascii="仿宋" w:eastAsia="仿宋" w:hAnsi="仿宋" w:cs="宋体"/>
          <w:kern w:val="0"/>
          <w:sz w:val="28"/>
          <w:szCs w:val="28"/>
          <w:lang w:val="zh-CN"/>
        </w:rPr>
        <w:t>1.</w:t>
      </w:r>
      <w:r w:rsidRPr="009A38EB">
        <w:rPr>
          <w:rFonts w:ascii="仿宋" w:eastAsia="仿宋" w:hAnsi="仿宋" w:cs="宋体" w:hint="eastAsia"/>
          <w:kern w:val="0"/>
          <w:sz w:val="28"/>
          <w:szCs w:val="28"/>
          <w:lang w:val="zh-CN"/>
        </w:rPr>
        <w:t>对极少数达到红色预警条件、不</w:t>
      </w:r>
      <w:proofErr w:type="gramStart"/>
      <w:r w:rsidRPr="009A38EB">
        <w:rPr>
          <w:rFonts w:ascii="仿宋" w:eastAsia="仿宋" w:hAnsi="仿宋" w:cs="宋体" w:hint="eastAsia"/>
          <w:kern w:val="0"/>
          <w:sz w:val="28"/>
          <w:szCs w:val="28"/>
          <w:lang w:val="zh-CN"/>
        </w:rPr>
        <w:t>及格门次过多</w:t>
      </w:r>
      <w:proofErr w:type="gramEnd"/>
      <w:r w:rsidRPr="009A38EB">
        <w:rPr>
          <w:rFonts w:ascii="仿宋" w:eastAsia="仿宋" w:hAnsi="仿宋" w:cs="宋体" w:hint="eastAsia"/>
          <w:kern w:val="0"/>
          <w:sz w:val="28"/>
          <w:szCs w:val="28"/>
          <w:lang w:val="zh-CN"/>
        </w:rPr>
        <w:t>且不愿改善学习状况的学生，</w:t>
      </w:r>
      <w:r w:rsidRPr="000A5B0F">
        <w:rPr>
          <w:rFonts w:ascii="仿宋" w:eastAsia="仿宋" w:hAnsi="仿宋" w:cs="宋体" w:hint="eastAsia"/>
          <w:kern w:val="0"/>
          <w:sz w:val="28"/>
          <w:szCs w:val="28"/>
          <w:lang w:val="zh-CN"/>
        </w:rPr>
        <w:t>通过上学期的帮扶，</w:t>
      </w:r>
      <w:r>
        <w:rPr>
          <w:rFonts w:ascii="仿宋" w:eastAsia="仿宋" w:hAnsi="仿宋" w:cs="宋体" w:hint="eastAsia"/>
          <w:kern w:val="0"/>
          <w:sz w:val="28"/>
          <w:szCs w:val="28"/>
          <w:lang w:val="zh-CN"/>
        </w:rPr>
        <w:t>学习状况</w:t>
      </w:r>
      <w:r w:rsidRPr="000A5B0F">
        <w:rPr>
          <w:rFonts w:ascii="仿宋" w:eastAsia="仿宋" w:hAnsi="仿宋" w:cs="宋体" w:hint="eastAsia"/>
          <w:kern w:val="0"/>
          <w:sz w:val="28"/>
          <w:szCs w:val="28"/>
          <w:lang w:val="zh-CN"/>
        </w:rPr>
        <w:t>并未得到好转，</w:t>
      </w:r>
      <w:r>
        <w:rPr>
          <w:rFonts w:ascii="仿宋" w:eastAsia="仿宋" w:hAnsi="仿宋" w:cs="宋体" w:hint="eastAsia"/>
          <w:kern w:val="0"/>
          <w:sz w:val="28"/>
          <w:szCs w:val="28"/>
          <w:lang w:val="zh-CN"/>
        </w:rPr>
        <w:t>二级学院</w:t>
      </w:r>
      <w:r w:rsidRPr="009A38EB">
        <w:rPr>
          <w:rFonts w:ascii="仿宋" w:eastAsia="仿宋" w:hAnsi="仿宋" w:cs="宋体" w:hint="eastAsia"/>
          <w:kern w:val="0"/>
          <w:sz w:val="28"/>
          <w:szCs w:val="28"/>
          <w:lang w:val="zh-CN"/>
        </w:rPr>
        <w:t>应加大学生管理力度让其留级或退学，以对在校生起到警戒作用，警示其他学生把更多的时间和精力投入到学习上，提高学习成绩。</w:t>
      </w:r>
    </w:p>
    <w:p w:rsidR="009A01B4" w:rsidRPr="009A38EB" w:rsidRDefault="009A01B4" w:rsidP="00F37088">
      <w:pPr>
        <w:autoSpaceDE w:val="0"/>
        <w:autoSpaceDN w:val="0"/>
        <w:adjustRightInd w:val="0"/>
        <w:spacing w:line="520" w:lineRule="atLeast"/>
        <w:ind w:firstLineChars="200" w:firstLine="560"/>
        <w:rPr>
          <w:rFonts w:ascii="仿宋" w:eastAsia="仿宋" w:hAnsi="仿宋" w:cs="Calibri"/>
          <w:kern w:val="0"/>
          <w:sz w:val="28"/>
          <w:szCs w:val="28"/>
        </w:rPr>
      </w:pPr>
      <w:r w:rsidRPr="009A38EB">
        <w:rPr>
          <w:rFonts w:ascii="仿宋" w:eastAsia="仿宋" w:hAnsi="仿宋" w:cs="宋体"/>
          <w:kern w:val="0"/>
          <w:sz w:val="28"/>
          <w:szCs w:val="28"/>
          <w:lang w:val="zh-CN"/>
        </w:rPr>
        <w:t>2.</w:t>
      </w:r>
      <w:r w:rsidRPr="009A38EB">
        <w:rPr>
          <w:rFonts w:ascii="仿宋" w:eastAsia="仿宋" w:hAnsi="仿宋" w:cs="宋体" w:hint="eastAsia"/>
          <w:kern w:val="0"/>
          <w:sz w:val="28"/>
          <w:szCs w:val="28"/>
          <w:lang w:val="zh-CN"/>
        </w:rPr>
        <w:t>针对特定专业和特定生源，从实际情况出发，在督促学生加强学习的同时，实施分类教学，注意诱发学生的学习兴趣，因材施教，以满足不同生源学生的学习需求。</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kern w:val="0"/>
          <w:sz w:val="28"/>
          <w:szCs w:val="28"/>
          <w:lang w:val="zh-CN"/>
        </w:rPr>
      </w:pPr>
      <w:r w:rsidRPr="009A38EB">
        <w:rPr>
          <w:rFonts w:ascii="仿宋" w:eastAsia="仿宋" w:hAnsi="仿宋" w:cs="宋体"/>
          <w:kern w:val="0"/>
          <w:sz w:val="28"/>
          <w:szCs w:val="28"/>
          <w:lang w:val="zh-CN"/>
        </w:rPr>
        <w:t>3.</w:t>
      </w:r>
      <w:r w:rsidRPr="009A38EB">
        <w:rPr>
          <w:rFonts w:ascii="仿宋" w:eastAsia="仿宋" w:hAnsi="仿宋" w:cs="宋体" w:hint="eastAsia"/>
          <w:kern w:val="0"/>
          <w:sz w:val="28"/>
          <w:szCs w:val="28"/>
          <w:lang w:val="zh-CN"/>
        </w:rPr>
        <w:t>采取小班授课，保证教学效果。学校的基础课程或专业基础课一般实行大班授课。大班授课人数过多，导致任课教师在授课方面仍然采用填鸭式和一言堂的授课方式，缺乏师生互动，影响学生学习效果。</w:t>
      </w:r>
    </w:p>
    <w:p w:rsidR="009A01B4" w:rsidRPr="009A38EB" w:rsidRDefault="009A01B4" w:rsidP="00F37088">
      <w:pPr>
        <w:autoSpaceDE w:val="0"/>
        <w:autoSpaceDN w:val="0"/>
        <w:adjustRightInd w:val="0"/>
        <w:spacing w:line="520" w:lineRule="atLeast"/>
        <w:ind w:firstLineChars="200" w:firstLine="560"/>
        <w:rPr>
          <w:rFonts w:ascii="仿宋" w:eastAsia="仿宋" w:hAnsi="仿宋" w:cs="宋体"/>
          <w:sz w:val="28"/>
          <w:szCs w:val="28"/>
        </w:rPr>
      </w:pPr>
      <w:r w:rsidRPr="009A38EB">
        <w:rPr>
          <w:rFonts w:ascii="仿宋" w:eastAsia="仿宋" w:hAnsi="仿宋" w:cs="宋体"/>
          <w:sz w:val="28"/>
          <w:szCs w:val="28"/>
        </w:rPr>
        <w:t>4.</w:t>
      </w:r>
      <w:r w:rsidRPr="009A38EB">
        <w:rPr>
          <w:rFonts w:ascii="仿宋" w:eastAsia="仿宋" w:hAnsi="仿宋" w:cs="宋体" w:hint="eastAsia"/>
          <w:sz w:val="28"/>
          <w:szCs w:val="28"/>
        </w:rPr>
        <w:t>改变考核方式单一，一张考卷“定乾坤”的传统做法。采取多样化的考核方式，多从学生课堂表现、平时作业、实验、课题研究等方面进行考核，逐步改进和完善考核方法。从应试教育下形成的以考试为目的的学习观念，改变为以发现问题和培养能力为目的的学习观念，促进学生学习效果的提升。</w:t>
      </w:r>
    </w:p>
    <w:p w:rsidR="009A01B4" w:rsidRDefault="009A01B4" w:rsidP="00F37088">
      <w:pPr>
        <w:spacing w:line="520" w:lineRule="exact"/>
        <w:ind w:firstLineChars="200" w:firstLine="560"/>
        <w:rPr>
          <w:rFonts w:ascii="仿宋" w:eastAsia="仿宋" w:hAnsi="仿宋"/>
          <w:sz w:val="28"/>
          <w:szCs w:val="28"/>
        </w:rPr>
      </w:pPr>
      <w:r w:rsidRPr="009A38EB">
        <w:rPr>
          <w:rFonts w:ascii="仿宋" w:eastAsia="仿宋" w:hAnsi="仿宋" w:cs="宋体"/>
          <w:kern w:val="0"/>
          <w:sz w:val="28"/>
          <w:szCs w:val="28"/>
          <w:lang w:val="zh-CN"/>
        </w:rPr>
        <w:lastRenderedPageBreak/>
        <w:t>5.</w:t>
      </w:r>
      <w:r w:rsidRPr="009A38EB">
        <w:rPr>
          <w:rFonts w:ascii="仿宋" w:eastAsia="仿宋" w:hAnsi="仿宋" w:cs="宋体" w:hint="eastAsia"/>
          <w:kern w:val="0"/>
          <w:sz w:val="28"/>
          <w:szCs w:val="28"/>
          <w:lang w:val="zh-CN"/>
        </w:rPr>
        <w:t>面向各种达到预警条件的学生</w:t>
      </w:r>
      <w:r>
        <w:rPr>
          <w:rFonts w:ascii="仿宋" w:eastAsia="仿宋" w:hAnsi="仿宋" w:cs="宋体" w:hint="eastAsia"/>
          <w:kern w:val="0"/>
          <w:sz w:val="28"/>
          <w:szCs w:val="28"/>
          <w:lang w:val="zh-CN"/>
        </w:rPr>
        <w:t>，</w:t>
      </w:r>
      <w:r w:rsidRPr="009A38EB">
        <w:rPr>
          <w:rFonts w:ascii="仿宋" w:eastAsia="仿宋" w:hAnsi="仿宋" w:cs="宋体" w:hint="eastAsia"/>
          <w:kern w:val="0"/>
          <w:sz w:val="28"/>
          <w:szCs w:val="28"/>
          <w:lang w:val="zh-CN"/>
        </w:rPr>
        <w:t>学院、教师、辅导员、班主任与家长</w:t>
      </w:r>
      <w:r>
        <w:rPr>
          <w:rFonts w:ascii="仿宋" w:eastAsia="仿宋" w:hAnsi="仿宋" w:cs="宋体" w:hint="eastAsia"/>
          <w:kern w:val="0"/>
          <w:sz w:val="28"/>
          <w:szCs w:val="28"/>
          <w:lang w:val="zh-CN"/>
        </w:rPr>
        <w:t>需</w:t>
      </w:r>
      <w:r w:rsidRPr="009A38EB">
        <w:rPr>
          <w:rFonts w:ascii="仿宋" w:eastAsia="仿宋" w:hAnsi="仿宋" w:cs="宋体" w:hint="eastAsia"/>
          <w:kern w:val="0"/>
          <w:sz w:val="28"/>
          <w:szCs w:val="28"/>
          <w:lang w:val="zh-CN"/>
        </w:rPr>
        <w:t>密切配合，采取有效手段做学生的思想工作，促使其认识到学习的重要性和学业成绩好转的必要性，采取有效措施督促学生加强学习，改善不良的学业状况。针对那些达到红色预警或红色预警边缘的学生，既要加大工作力度，也要注意工作方式方法。</w:t>
      </w: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仿宋" w:eastAsia="仿宋" w:hAnsi="仿宋"/>
          <w:sz w:val="28"/>
          <w:szCs w:val="28"/>
        </w:rPr>
      </w:pPr>
    </w:p>
    <w:p w:rsidR="009A01B4" w:rsidRPr="001F0251" w:rsidRDefault="009A01B4" w:rsidP="00F37088">
      <w:pPr>
        <w:spacing w:line="520" w:lineRule="exact"/>
        <w:ind w:firstLineChars="200" w:firstLine="560"/>
        <w:rPr>
          <w:rFonts w:ascii="仿宋" w:eastAsia="仿宋" w:hAnsi="仿宋"/>
          <w:sz w:val="28"/>
          <w:szCs w:val="28"/>
        </w:rPr>
      </w:pPr>
    </w:p>
    <w:p w:rsidR="009A01B4" w:rsidRDefault="009A01B4" w:rsidP="00F37088">
      <w:pPr>
        <w:spacing w:line="520" w:lineRule="exact"/>
        <w:ind w:firstLineChars="200" w:firstLine="560"/>
        <w:rPr>
          <w:rFonts w:ascii="??_GB2312" w:eastAsia="Times New Roman" w:hAnsi="Times New Roman"/>
          <w:sz w:val="28"/>
          <w:szCs w:val="28"/>
        </w:rPr>
      </w:pPr>
    </w:p>
    <w:p w:rsidR="009A01B4" w:rsidRPr="00573A43" w:rsidRDefault="009A01B4" w:rsidP="007173DF">
      <w:pPr>
        <w:rPr>
          <w:rFonts w:ascii="楷体_GB2312" w:eastAsia="楷体_GB2312"/>
          <w:sz w:val="28"/>
          <w:szCs w:val="28"/>
        </w:rPr>
      </w:pPr>
      <w:r w:rsidRPr="00573A43">
        <w:rPr>
          <w:rFonts w:ascii="楷体_GB2312" w:eastAsia="楷体_GB2312"/>
          <w:sz w:val="28"/>
          <w:szCs w:val="28"/>
        </w:rPr>
        <w:t>（本期发至校领导、办公室（发展规划处）、宣传部、学生工作部（处）、人事处、教务处、教学质量监控与评估中心、招生就业处、实验设备管理处、各教学单位）</w:t>
      </w:r>
    </w:p>
    <w:tbl>
      <w:tblPr>
        <w:tblpPr w:leftFromText="180" w:rightFromText="180" w:vertAnchor="text" w:horzAnchor="margin" w:tblpY="61"/>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8528"/>
      </w:tblGrid>
      <w:tr w:rsidR="009A01B4" w:rsidRPr="009157A4" w:rsidTr="007173DF">
        <w:trPr>
          <w:trHeight w:val="680"/>
        </w:trPr>
        <w:tc>
          <w:tcPr>
            <w:tcW w:w="9061" w:type="dxa"/>
          </w:tcPr>
          <w:p w:rsidR="009A01B4" w:rsidRPr="00D2793D" w:rsidRDefault="009A01B4" w:rsidP="00034F24">
            <w:pPr>
              <w:spacing w:line="520" w:lineRule="exact"/>
              <w:jc w:val="center"/>
              <w:rPr>
                <w:rFonts w:ascii="仿宋" w:eastAsia="仿宋" w:hAnsi="仿宋"/>
                <w:sz w:val="28"/>
                <w:szCs w:val="28"/>
              </w:rPr>
            </w:pPr>
            <w:r w:rsidRPr="00D2793D">
              <w:rPr>
                <w:rFonts w:ascii="仿宋" w:eastAsia="仿宋" w:hAnsi="仿宋"/>
                <w:sz w:val="28"/>
                <w:szCs w:val="28"/>
              </w:rPr>
              <w:t xml:space="preserve">  </w:t>
            </w:r>
            <w:r w:rsidRPr="00D2793D">
              <w:rPr>
                <w:rFonts w:ascii="仿宋" w:eastAsia="仿宋" w:hAnsi="仿宋" w:hint="eastAsia"/>
                <w:sz w:val="28"/>
                <w:szCs w:val="28"/>
              </w:rPr>
              <w:t>教务处</w:t>
            </w:r>
            <w:r w:rsidRPr="00D2793D">
              <w:rPr>
                <w:rFonts w:ascii="仿宋" w:eastAsia="仿宋" w:hAnsi="仿宋"/>
                <w:sz w:val="28"/>
                <w:szCs w:val="28"/>
              </w:rPr>
              <w:t xml:space="preserve">                   2016</w:t>
            </w:r>
            <w:r w:rsidRPr="00D2793D">
              <w:rPr>
                <w:rFonts w:ascii="仿宋" w:eastAsia="仿宋" w:hAnsi="仿宋" w:hint="eastAsia"/>
                <w:sz w:val="28"/>
                <w:szCs w:val="28"/>
              </w:rPr>
              <w:t>年</w:t>
            </w:r>
            <w:r>
              <w:rPr>
                <w:rFonts w:ascii="仿宋" w:eastAsia="仿宋" w:hAnsi="仿宋"/>
                <w:sz w:val="28"/>
                <w:szCs w:val="28"/>
              </w:rPr>
              <w:t>4</w:t>
            </w:r>
            <w:r w:rsidRPr="00D2793D">
              <w:rPr>
                <w:rFonts w:ascii="仿宋" w:eastAsia="仿宋" w:hAnsi="仿宋" w:hint="eastAsia"/>
                <w:sz w:val="28"/>
                <w:szCs w:val="28"/>
              </w:rPr>
              <w:t>月</w:t>
            </w:r>
            <w:r>
              <w:rPr>
                <w:rFonts w:ascii="仿宋" w:eastAsia="仿宋" w:hAnsi="仿宋"/>
                <w:sz w:val="28"/>
                <w:szCs w:val="28"/>
              </w:rPr>
              <w:t>2</w:t>
            </w:r>
            <w:r w:rsidRPr="00D2793D">
              <w:rPr>
                <w:rFonts w:ascii="仿宋" w:eastAsia="仿宋" w:hAnsi="仿宋"/>
                <w:sz w:val="28"/>
                <w:szCs w:val="28"/>
              </w:rPr>
              <w:t>6</w:t>
            </w:r>
            <w:r w:rsidRPr="00D2793D">
              <w:rPr>
                <w:rFonts w:ascii="仿宋" w:eastAsia="仿宋" w:hAnsi="仿宋" w:hint="eastAsia"/>
                <w:sz w:val="28"/>
                <w:szCs w:val="28"/>
              </w:rPr>
              <w:t>日印发，共</w:t>
            </w:r>
            <w:r w:rsidRPr="00D2793D">
              <w:rPr>
                <w:rFonts w:ascii="仿宋" w:eastAsia="仿宋" w:hAnsi="仿宋"/>
                <w:sz w:val="28"/>
                <w:szCs w:val="28"/>
              </w:rPr>
              <w:t>30</w:t>
            </w:r>
            <w:r w:rsidRPr="00D2793D">
              <w:rPr>
                <w:rFonts w:ascii="仿宋" w:eastAsia="仿宋" w:hAnsi="仿宋" w:hint="eastAsia"/>
                <w:sz w:val="28"/>
                <w:szCs w:val="28"/>
              </w:rPr>
              <w:t>份。</w:t>
            </w:r>
          </w:p>
        </w:tc>
      </w:tr>
    </w:tbl>
    <w:p w:rsidR="009A01B4" w:rsidRPr="007173DF" w:rsidRDefault="009A01B4" w:rsidP="00D5350B">
      <w:pPr>
        <w:spacing w:line="520" w:lineRule="exact"/>
        <w:rPr>
          <w:rFonts w:ascii="??_GB2312" w:eastAsia="Times New Roman" w:hAnsi="Times New Roman"/>
          <w:sz w:val="28"/>
          <w:szCs w:val="28"/>
        </w:rPr>
      </w:pPr>
    </w:p>
    <w:sectPr w:rsidR="009A01B4" w:rsidRPr="007173DF" w:rsidSect="00244A7D">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1B4" w:rsidRDefault="009A01B4" w:rsidP="000E612B">
      <w:r>
        <w:separator/>
      </w:r>
    </w:p>
  </w:endnote>
  <w:endnote w:type="continuationSeparator" w:id="0">
    <w:p w:rsidR="009A01B4" w:rsidRDefault="009A01B4" w:rsidP="000E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_GB2312">
    <w:altName w:val="Lucida Console"/>
    <w:panose1 w:val="00000000000000000000"/>
    <w:charset w:val="00"/>
    <w:family w:val="auto"/>
    <w:notTrueType/>
    <w:pitch w:val="default"/>
    <w:sig w:usb0="00000003" w:usb1="00000000" w:usb2="00000000" w:usb3="00000000" w:csb0="00000001"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00"/>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B4" w:rsidRDefault="009A01B4">
    <w:pPr>
      <w:pStyle w:val="a4"/>
      <w:jc w:val="center"/>
    </w:pPr>
  </w:p>
  <w:p w:rsidR="009A01B4" w:rsidRDefault="009A01B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B4" w:rsidRPr="00D22C9E" w:rsidRDefault="009A01B4">
    <w:pPr>
      <w:pStyle w:val="a4"/>
      <w:jc w:val="center"/>
      <w:rPr>
        <w:sz w:val="28"/>
        <w:szCs w:val="28"/>
      </w:rPr>
    </w:pPr>
    <w:r w:rsidRPr="00D22C9E">
      <w:rPr>
        <w:sz w:val="28"/>
        <w:szCs w:val="28"/>
      </w:rPr>
      <w:fldChar w:fldCharType="begin"/>
    </w:r>
    <w:r w:rsidRPr="00D22C9E">
      <w:rPr>
        <w:sz w:val="28"/>
        <w:szCs w:val="28"/>
      </w:rPr>
      <w:instrText>PAGE   \* MERGEFORMAT</w:instrText>
    </w:r>
    <w:r w:rsidRPr="00D22C9E">
      <w:rPr>
        <w:sz w:val="28"/>
        <w:szCs w:val="28"/>
      </w:rPr>
      <w:fldChar w:fldCharType="separate"/>
    </w:r>
    <w:r w:rsidR="00577C92" w:rsidRPr="00577C92">
      <w:rPr>
        <w:noProof/>
        <w:sz w:val="28"/>
        <w:szCs w:val="28"/>
        <w:lang w:val="zh-CN"/>
      </w:rPr>
      <w:t>-</w:t>
    </w:r>
    <w:r w:rsidR="00577C92">
      <w:rPr>
        <w:noProof/>
        <w:sz w:val="28"/>
        <w:szCs w:val="28"/>
      </w:rPr>
      <w:t xml:space="preserve"> 20 -</w:t>
    </w:r>
    <w:r w:rsidRPr="00D22C9E">
      <w:rPr>
        <w:sz w:val="28"/>
        <w:szCs w:val="28"/>
      </w:rPr>
      <w:fldChar w:fldCharType="end"/>
    </w:r>
  </w:p>
  <w:p w:rsidR="009A01B4" w:rsidRPr="00882E9E" w:rsidRDefault="009A01B4" w:rsidP="00882E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1B4" w:rsidRDefault="009A01B4" w:rsidP="000E612B">
      <w:r>
        <w:separator/>
      </w:r>
    </w:p>
  </w:footnote>
  <w:footnote w:type="continuationSeparator" w:id="0">
    <w:p w:rsidR="009A01B4" w:rsidRDefault="009A01B4" w:rsidP="000E6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B4" w:rsidRDefault="009A01B4" w:rsidP="00A520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1B4" w:rsidRDefault="009A01B4" w:rsidP="00A5202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C55EB"/>
    <w:multiLevelType w:val="hybridMultilevel"/>
    <w:tmpl w:val="C7385892"/>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661"/>
    <w:rsid w:val="00003430"/>
    <w:rsid w:val="00006D16"/>
    <w:rsid w:val="00014300"/>
    <w:rsid w:val="000145D8"/>
    <w:rsid w:val="00015D04"/>
    <w:rsid w:val="0001711B"/>
    <w:rsid w:val="00020DCE"/>
    <w:rsid w:val="000225EB"/>
    <w:rsid w:val="00030455"/>
    <w:rsid w:val="00030C63"/>
    <w:rsid w:val="000325D4"/>
    <w:rsid w:val="00032635"/>
    <w:rsid w:val="00034F24"/>
    <w:rsid w:val="00037208"/>
    <w:rsid w:val="000474FC"/>
    <w:rsid w:val="00063282"/>
    <w:rsid w:val="0006625C"/>
    <w:rsid w:val="00074659"/>
    <w:rsid w:val="000804D0"/>
    <w:rsid w:val="00084F10"/>
    <w:rsid w:val="000868EF"/>
    <w:rsid w:val="00097849"/>
    <w:rsid w:val="00097F3D"/>
    <w:rsid w:val="000A0008"/>
    <w:rsid w:val="000A1334"/>
    <w:rsid w:val="000A2F9E"/>
    <w:rsid w:val="000A5B0F"/>
    <w:rsid w:val="000A6DD8"/>
    <w:rsid w:val="000B5CE0"/>
    <w:rsid w:val="000C00A0"/>
    <w:rsid w:val="000C45C4"/>
    <w:rsid w:val="000C492C"/>
    <w:rsid w:val="000D238C"/>
    <w:rsid w:val="000E13E1"/>
    <w:rsid w:val="000E612B"/>
    <w:rsid w:val="000E7DD3"/>
    <w:rsid w:val="000F416B"/>
    <w:rsid w:val="001018C0"/>
    <w:rsid w:val="0010201D"/>
    <w:rsid w:val="00111434"/>
    <w:rsid w:val="001121EF"/>
    <w:rsid w:val="00116918"/>
    <w:rsid w:val="00123166"/>
    <w:rsid w:val="001242CC"/>
    <w:rsid w:val="00135D0D"/>
    <w:rsid w:val="0013733C"/>
    <w:rsid w:val="00141952"/>
    <w:rsid w:val="00146F07"/>
    <w:rsid w:val="0016002C"/>
    <w:rsid w:val="001660A4"/>
    <w:rsid w:val="0016612C"/>
    <w:rsid w:val="00185BD4"/>
    <w:rsid w:val="001B2619"/>
    <w:rsid w:val="001C41FA"/>
    <w:rsid w:val="001C62D6"/>
    <w:rsid w:val="001C759F"/>
    <w:rsid w:val="001D6741"/>
    <w:rsid w:val="001E717B"/>
    <w:rsid w:val="001F0251"/>
    <w:rsid w:val="001F74B7"/>
    <w:rsid w:val="00201DAD"/>
    <w:rsid w:val="002229EC"/>
    <w:rsid w:val="00223DC2"/>
    <w:rsid w:val="00233F88"/>
    <w:rsid w:val="00243039"/>
    <w:rsid w:val="00244A7D"/>
    <w:rsid w:val="00245334"/>
    <w:rsid w:val="00252606"/>
    <w:rsid w:val="00267F0B"/>
    <w:rsid w:val="0027561C"/>
    <w:rsid w:val="00280B40"/>
    <w:rsid w:val="00284077"/>
    <w:rsid w:val="00285783"/>
    <w:rsid w:val="002872EF"/>
    <w:rsid w:val="00293702"/>
    <w:rsid w:val="00297B41"/>
    <w:rsid w:val="002A0C45"/>
    <w:rsid w:val="002A1544"/>
    <w:rsid w:val="002A1B66"/>
    <w:rsid w:val="002A33C8"/>
    <w:rsid w:val="002A7410"/>
    <w:rsid w:val="002B2B03"/>
    <w:rsid w:val="002B307F"/>
    <w:rsid w:val="002B40B7"/>
    <w:rsid w:val="002C4533"/>
    <w:rsid w:val="002C7403"/>
    <w:rsid w:val="002C7527"/>
    <w:rsid w:val="002F0345"/>
    <w:rsid w:val="002F59DF"/>
    <w:rsid w:val="00302963"/>
    <w:rsid w:val="00323486"/>
    <w:rsid w:val="00325891"/>
    <w:rsid w:val="003264D1"/>
    <w:rsid w:val="00326C00"/>
    <w:rsid w:val="00330902"/>
    <w:rsid w:val="00340273"/>
    <w:rsid w:val="00344074"/>
    <w:rsid w:val="00353E34"/>
    <w:rsid w:val="00354C62"/>
    <w:rsid w:val="00354FD7"/>
    <w:rsid w:val="00356B9C"/>
    <w:rsid w:val="0036239B"/>
    <w:rsid w:val="00363AFB"/>
    <w:rsid w:val="00365327"/>
    <w:rsid w:val="00375793"/>
    <w:rsid w:val="00376BC8"/>
    <w:rsid w:val="003828C7"/>
    <w:rsid w:val="00392003"/>
    <w:rsid w:val="00392891"/>
    <w:rsid w:val="00392B3B"/>
    <w:rsid w:val="00395077"/>
    <w:rsid w:val="003A26A0"/>
    <w:rsid w:val="003A2CFD"/>
    <w:rsid w:val="003A51FF"/>
    <w:rsid w:val="003B2F57"/>
    <w:rsid w:val="003C4BCA"/>
    <w:rsid w:val="003D18DD"/>
    <w:rsid w:val="003D49C6"/>
    <w:rsid w:val="003D4D5D"/>
    <w:rsid w:val="003D6342"/>
    <w:rsid w:val="003E4CD6"/>
    <w:rsid w:val="003E7337"/>
    <w:rsid w:val="003F0606"/>
    <w:rsid w:val="003F1521"/>
    <w:rsid w:val="003F2BC7"/>
    <w:rsid w:val="003F4AA2"/>
    <w:rsid w:val="004042BD"/>
    <w:rsid w:val="00416CE5"/>
    <w:rsid w:val="00425307"/>
    <w:rsid w:val="00426CCC"/>
    <w:rsid w:val="0043176C"/>
    <w:rsid w:val="0043538C"/>
    <w:rsid w:val="00440FA5"/>
    <w:rsid w:val="00452E8B"/>
    <w:rsid w:val="00456F3A"/>
    <w:rsid w:val="004616AC"/>
    <w:rsid w:val="00465A2D"/>
    <w:rsid w:val="00474CDD"/>
    <w:rsid w:val="00483103"/>
    <w:rsid w:val="004902EA"/>
    <w:rsid w:val="00491AB0"/>
    <w:rsid w:val="00497829"/>
    <w:rsid w:val="004A2652"/>
    <w:rsid w:val="004A78C0"/>
    <w:rsid w:val="004B1669"/>
    <w:rsid w:val="004B2854"/>
    <w:rsid w:val="004D68AF"/>
    <w:rsid w:val="004E1BFE"/>
    <w:rsid w:val="004E320E"/>
    <w:rsid w:val="004F105D"/>
    <w:rsid w:val="00506F03"/>
    <w:rsid w:val="0050754B"/>
    <w:rsid w:val="005148F7"/>
    <w:rsid w:val="00523901"/>
    <w:rsid w:val="00524E1B"/>
    <w:rsid w:val="00525CC7"/>
    <w:rsid w:val="00527182"/>
    <w:rsid w:val="00535533"/>
    <w:rsid w:val="00541E1C"/>
    <w:rsid w:val="0054311E"/>
    <w:rsid w:val="0054705F"/>
    <w:rsid w:val="005554CC"/>
    <w:rsid w:val="00560745"/>
    <w:rsid w:val="00564C87"/>
    <w:rsid w:val="0057071A"/>
    <w:rsid w:val="00573A43"/>
    <w:rsid w:val="00577C92"/>
    <w:rsid w:val="005866DD"/>
    <w:rsid w:val="00593C0C"/>
    <w:rsid w:val="00594DF1"/>
    <w:rsid w:val="00595F58"/>
    <w:rsid w:val="005975AA"/>
    <w:rsid w:val="00597C50"/>
    <w:rsid w:val="005A6392"/>
    <w:rsid w:val="005B35B8"/>
    <w:rsid w:val="005D06DB"/>
    <w:rsid w:val="005D2A83"/>
    <w:rsid w:val="005D7FD2"/>
    <w:rsid w:val="005F0EAB"/>
    <w:rsid w:val="00610108"/>
    <w:rsid w:val="00610131"/>
    <w:rsid w:val="00612DFC"/>
    <w:rsid w:val="00614641"/>
    <w:rsid w:val="00627707"/>
    <w:rsid w:val="0063467A"/>
    <w:rsid w:val="00643F35"/>
    <w:rsid w:val="00654CE5"/>
    <w:rsid w:val="0066173C"/>
    <w:rsid w:val="00661E79"/>
    <w:rsid w:val="00666F57"/>
    <w:rsid w:val="00672504"/>
    <w:rsid w:val="00673EE0"/>
    <w:rsid w:val="006765CA"/>
    <w:rsid w:val="00692913"/>
    <w:rsid w:val="006A0AC0"/>
    <w:rsid w:val="006A4C82"/>
    <w:rsid w:val="006C5620"/>
    <w:rsid w:val="006C579F"/>
    <w:rsid w:val="006C602C"/>
    <w:rsid w:val="006D0B3C"/>
    <w:rsid w:val="006D2388"/>
    <w:rsid w:val="006D434B"/>
    <w:rsid w:val="006E049A"/>
    <w:rsid w:val="006E66D0"/>
    <w:rsid w:val="006E6D51"/>
    <w:rsid w:val="006F61B0"/>
    <w:rsid w:val="00702DCF"/>
    <w:rsid w:val="007173DF"/>
    <w:rsid w:val="00722F15"/>
    <w:rsid w:val="007243AF"/>
    <w:rsid w:val="007256C7"/>
    <w:rsid w:val="00734211"/>
    <w:rsid w:val="00736926"/>
    <w:rsid w:val="00737962"/>
    <w:rsid w:val="00740493"/>
    <w:rsid w:val="00743331"/>
    <w:rsid w:val="00761E68"/>
    <w:rsid w:val="00777D3C"/>
    <w:rsid w:val="00783B76"/>
    <w:rsid w:val="00785E8E"/>
    <w:rsid w:val="00787D43"/>
    <w:rsid w:val="00791DAC"/>
    <w:rsid w:val="007B00EC"/>
    <w:rsid w:val="007B03C8"/>
    <w:rsid w:val="007B2897"/>
    <w:rsid w:val="007C2DE9"/>
    <w:rsid w:val="007C6645"/>
    <w:rsid w:val="007D03DD"/>
    <w:rsid w:val="007D1598"/>
    <w:rsid w:val="007E4E12"/>
    <w:rsid w:val="007F3D72"/>
    <w:rsid w:val="007F47E8"/>
    <w:rsid w:val="0081256A"/>
    <w:rsid w:val="00815769"/>
    <w:rsid w:val="0082182F"/>
    <w:rsid w:val="008238E6"/>
    <w:rsid w:val="00823977"/>
    <w:rsid w:val="008242B6"/>
    <w:rsid w:val="00824F77"/>
    <w:rsid w:val="00825E2A"/>
    <w:rsid w:val="00831307"/>
    <w:rsid w:val="00833BFA"/>
    <w:rsid w:val="00842EA1"/>
    <w:rsid w:val="00844FB1"/>
    <w:rsid w:val="00845A5D"/>
    <w:rsid w:val="008559C7"/>
    <w:rsid w:val="00855F9A"/>
    <w:rsid w:val="008606BB"/>
    <w:rsid w:val="00870CAA"/>
    <w:rsid w:val="0087195A"/>
    <w:rsid w:val="00875DF9"/>
    <w:rsid w:val="0087653E"/>
    <w:rsid w:val="00882E9E"/>
    <w:rsid w:val="0089066F"/>
    <w:rsid w:val="0089101D"/>
    <w:rsid w:val="00891DAB"/>
    <w:rsid w:val="008946EC"/>
    <w:rsid w:val="008960E1"/>
    <w:rsid w:val="008962A6"/>
    <w:rsid w:val="008A3AAC"/>
    <w:rsid w:val="008A46AA"/>
    <w:rsid w:val="008A7507"/>
    <w:rsid w:val="008B3F78"/>
    <w:rsid w:val="008B65BC"/>
    <w:rsid w:val="008B69A2"/>
    <w:rsid w:val="008C2D0E"/>
    <w:rsid w:val="008C6C85"/>
    <w:rsid w:val="008C7BFA"/>
    <w:rsid w:val="008F7AA3"/>
    <w:rsid w:val="00900C05"/>
    <w:rsid w:val="00901CC7"/>
    <w:rsid w:val="00906BDD"/>
    <w:rsid w:val="00906E4D"/>
    <w:rsid w:val="009113EB"/>
    <w:rsid w:val="009134B2"/>
    <w:rsid w:val="009157A4"/>
    <w:rsid w:val="009176DF"/>
    <w:rsid w:val="00920CC4"/>
    <w:rsid w:val="00933E67"/>
    <w:rsid w:val="00937FD5"/>
    <w:rsid w:val="00940DA1"/>
    <w:rsid w:val="00946591"/>
    <w:rsid w:val="00962FDF"/>
    <w:rsid w:val="009701B5"/>
    <w:rsid w:val="009737AC"/>
    <w:rsid w:val="00981A94"/>
    <w:rsid w:val="00982699"/>
    <w:rsid w:val="00996E53"/>
    <w:rsid w:val="009A01B4"/>
    <w:rsid w:val="009A05F8"/>
    <w:rsid w:val="009A1170"/>
    <w:rsid w:val="009A38EB"/>
    <w:rsid w:val="009A726B"/>
    <w:rsid w:val="009B156A"/>
    <w:rsid w:val="009C2259"/>
    <w:rsid w:val="009C27ED"/>
    <w:rsid w:val="009C7479"/>
    <w:rsid w:val="009D6C7B"/>
    <w:rsid w:val="009E65A9"/>
    <w:rsid w:val="009F12A2"/>
    <w:rsid w:val="00A0447F"/>
    <w:rsid w:val="00A04D0E"/>
    <w:rsid w:val="00A1384B"/>
    <w:rsid w:val="00A15881"/>
    <w:rsid w:val="00A211EA"/>
    <w:rsid w:val="00A21EBF"/>
    <w:rsid w:val="00A339CD"/>
    <w:rsid w:val="00A3433A"/>
    <w:rsid w:val="00A431B2"/>
    <w:rsid w:val="00A4333D"/>
    <w:rsid w:val="00A435E1"/>
    <w:rsid w:val="00A4458A"/>
    <w:rsid w:val="00A44598"/>
    <w:rsid w:val="00A44DE9"/>
    <w:rsid w:val="00A517A2"/>
    <w:rsid w:val="00A5202F"/>
    <w:rsid w:val="00A5264A"/>
    <w:rsid w:val="00A53219"/>
    <w:rsid w:val="00A642F2"/>
    <w:rsid w:val="00A65E82"/>
    <w:rsid w:val="00A70F68"/>
    <w:rsid w:val="00A7419B"/>
    <w:rsid w:val="00A751DF"/>
    <w:rsid w:val="00A77C56"/>
    <w:rsid w:val="00A82E1E"/>
    <w:rsid w:val="00A832A2"/>
    <w:rsid w:val="00A93833"/>
    <w:rsid w:val="00A9735A"/>
    <w:rsid w:val="00AA2126"/>
    <w:rsid w:val="00AB287D"/>
    <w:rsid w:val="00AB79F3"/>
    <w:rsid w:val="00AC2A10"/>
    <w:rsid w:val="00AC63D3"/>
    <w:rsid w:val="00AD1C0A"/>
    <w:rsid w:val="00AD371D"/>
    <w:rsid w:val="00AD3E10"/>
    <w:rsid w:val="00AD7346"/>
    <w:rsid w:val="00AE01E7"/>
    <w:rsid w:val="00AE6241"/>
    <w:rsid w:val="00AF2AB1"/>
    <w:rsid w:val="00B00D66"/>
    <w:rsid w:val="00B053CC"/>
    <w:rsid w:val="00B1339F"/>
    <w:rsid w:val="00B149F1"/>
    <w:rsid w:val="00B22808"/>
    <w:rsid w:val="00B25D34"/>
    <w:rsid w:val="00B406E8"/>
    <w:rsid w:val="00B42A20"/>
    <w:rsid w:val="00B431B5"/>
    <w:rsid w:val="00B43297"/>
    <w:rsid w:val="00B46742"/>
    <w:rsid w:val="00B53F48"/>
    <w:rsid w:val="00B55C37"/>
    <w:rsid w:val="00B705C0"/>
    <w:rsid w:val="00B73B10"/>
    <w:rsid w:val="00B73F8A"/>
    <w:rsid w:val="00B819A0"/>
    <w:rsid w:val="00B85388"/>
    <w:rsid w:val="00B853E6"/>
    <w:rsid w:val="00B8587F"/>
    <w:rsid w:val="00B8712C"/>
    <w:rsid w:val="00B91078"/>
    <w:rsid w:val="00BA0969"/>
    <w:rsid w:val="00BA14F9"/>
    <w:rsid w:val="00BA3752"/>
    <w:rsid w:val="00BA71E1"/>
    <w:rsid w:val="00BB3B84"/>
    <w:rsid w:val="00BB6563"/>
    <w:rsid w:val="00BD174D"/>
    <w:rsid w:val="00BD21D0"/>
    <w:rsid w:val="00BD67F3"/>
    <w:rsid w:val="00BE0A01"/>
    <w:rsid w:val="00BE125C"/>
    <w:rsid w:val="00BE5774"/>
    <w:rsid w:val="00BF424F"/>
    <w:rsid w:val="00BF61AC"/>
    <w:rsid w:val="00C03FC9"/>
    <w:rsid w:val="00C1000E"/>
    <w:rsid w:val="00C1662B"/>
    <w:rsid w:val="00C23758"/>
    <w:rsid w:val="00C258B9"/>
    <w:rsid w:val="00C26508"/>
    <w:rsid w:val="00C32D55"/>
    <w:rsid w:val="00C3792D"/>
    <w:rsid w:val="00C37C58"/>
    <w:rsid w:val="00C530AB"/>
    <w:rsid w:val="00C53367"/>
    <w:rsid w:val="00C624B3"/>
    <w:rsid w:val="00C8134E"/>
    <w:rsid w:val="00C84B5E"/>
    <w:rsid w:val="00C84BB6"/>
    <w:rsid w:val="00C860EF"/>
    <w:rsid w:val="00C87F44"/>
    <w:rsid w:val="00C927F8"/>
    <w:rsid w:val="00C93D13"/>
    <w:rsid w:val="00CA2179"/>
    <w:rsid w:val="00CA257D"/>
    <w:rsid w:val="00CA75E0"/>
    <w:rsid w:val="00CB157C"/>
    <w:rsid w:val="00CC2016"/>
    <w:rsid w:val="00CC3534"/>
    <w:rsid w:val="00CE0A1C"/>
    <w:rsid w:val="00CE22F5"/>
    <w:rsid w:val="00CE3BB5"/>
    <w:rsid w:val="00CE3D63"/>
    <w:rsid w:val="00CE5EDD"/>
    <w:rsid w:val="00CF3960"/>
    <w:rsid w:val="00CF45C2"/>
    <w:rsid w:val="00CF5922"/>
    <w:rsid w:val="00D0628B"/>
    <w:rsid w:val="00D13A74"/>
    <w:rsid w:val="00D1520D"/>
    <w:rsid w:val="00D17BE2"/>
    <w:rsid w:val="00D22A61"/>
    <w:rsid w:val="00D22C9E"/>
    <w:rsid w:val="00D24CB4"/>
    <w:rsid w:val="00D273BB"/>
    <w:rsid w:val="00D2793D"/>
    <w:rsid w:val="00D36F0B"/>
    <w:rsid w:val="00D40318"/>
    <w:rsid w:val="00D42003"/>
    <w:rsid w:val="00D44E2C"/>
    <w:rsid w:val="00D4680D"/>
    <w:rsid w:val="00D471B5"/>
    <w:rsid w:val="00D501E8"/>
    <w:rsid w:val="00D5350B"/>
    <w:rsid w:val="00D539FA"/>
    <w:rsid w:val="00D53F35"/>
    <w:rsid w:val="00D57661"/>
    <w:rsid w:val="00D61499"/>
    <w:rsid w:val="00D65357"/>
    <w:rsid w:val="00D80DD9"/>
    <w:rsid w:val="00D83C6D"/>
    <w:rsid w:val="00DA3970"/>
    <w:rsid w:val="00DA49E9"/>
    <w:rsid w:val="00DA6F33"/>
    <w:rsid w:val="00DB070A"/>
    <w:rsid w:val="00DB1F31"/>
    <w:rsid w:val="00DB69E3"/>
    <w:rsid w:val="00DC0BA6"/>
    <w:rsid w:val="00DC5700"/>
    <w:rsid w:val="00DC5D02"/>
    <w:rsid w:val="00DC6E9B"/>
    <w:rsid w:val="00DC738D"/>
    <w:rsid w:val="00DD4BC0"/>
    <w:rsid w:val="00DE2B38"/>
    <w:rsid w:val="00DE4B1E"/>
    <w:rsid w:val="00DE68DD"/>
    <w:rsid w:val="00DF06D9"/>
    <w:rsid w:val="00DF7748"/>
    <w:rsid w:val="00E07C4B"/>
    <w:rsid w:val="00E13877"/>
    <w:rsid w:val="00E16166"/>
    <w:rsid w:val="00E25966"/>
    <w:rsid w:val="00E30240"/>
    <w:rsid w:val="00E30CAF"/>
    <w:rsid w:val="00E32E60"/>
    <w:rsid w:val="00E36B72"/>
    <w:rsid w:val="00E4060D"/>
    <w:rsid w:val="00E44FAE"/>
    <w:rsid w:val="00E6306E"/>
    <w:rsid w:val="00E633C4"/>
    <w:rsid w:val="00E7306D"/>
    <w:rsid w:val="00E73F70"/>
    <w:rsid w:val="00E77046"/>
    <w:rsid w:val="00E77E14"/>
    <w:rsid w:val="00E8058B"/>
    <w:rsid w:val="00E81FC5"/>
    <w:rsid w:val="00E90A85"/>
    <w:rsid w:val="00E96F80"/>
    <w:rsid w:val="00EA36A5"/>
    <w:rsid w:val="00EB2E8B"/>
    <w:rsid w:val="00EB6A1B"/>
    <w:rsid w:val="00EB6B6F"/>
    <w:rsid w:val="00ED2119"/>
    <w:rsid w:val="00ED3E5F"/>
    <w:rsid w:val="00EE0950"/>
    <w:rsid w:val="00EE0B8E"/>
    <w:rsid w:val="00EE6B91"/>
    <w:rsid w:val="00EF55FF"/>
    <w:rsid w:val="00F03ECF"/>
    <w:rsid w:val="00F068D2"/>
    <w:rsid w:val="00F148D8"/>
    <w:rsid w:val="00F24337"/>
    <w:rsid w:val="00F253E9"/>
    <w:rsid w:val="00F264A2"/>
    <w:rsid w:val="00F34134"/>
    <w:rsid w:val="00F37088"/>
    <w:rsid w:val="00F37CED"/>
    <w:rsid w:val="00F4177A"/>
    <w:rsid w:val="00F4233F"/>
    <w:rsid w:val="00F60A6D"/>
    <w:rsid w:val="00F61ABE"/>
    <w:rsid w:val="00F63E52"/>
    <w:rsid w:val="00F66921"/>
    <w:rsid w:val="00F72051"/>
    <w:rsid w:val="00F76440"/>
    <w:rsid w:val="00FA336C"/>
    <w:rsid w:val="00FA6CA8"/>
    <w:rsid w:val="00FB39E6"/>
    <w:rsid w:val="00FD681B"/>
    <w:rsid w:val="00FF0CD3"/>
    <w:rsid w:val="00FF1596"/>
    <w:rsid w:val="00FF2E5D"/>
    <w:rsid w:val="00FF41F1"/>
    <w:rsid w:val="00FF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5:docId w15:val="{6CB4ED01-C3C0-42E3-9EA0-D06BCB340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E612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0E612B"/>
    <w:rPr>
      <w:sz w:val="18"/>
    </w:rPr>
  </w:style>
  <w:style w:type="paragraph" w:styleId="a4">
    <w:name w:val="footer"/>
    <w:basedOn w:val="a"/>
    <w:link w:val="Char0"/>
    <w:uiPriority w:val="99"/>
    <w:rsid w:val="000E612B"/>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0E612B"/>
    <w:rPr>
      <w:sz w:val="18"/>
    </w:rPr>
  </w:style>
  <w:style w:type="paragraph" w:styleId="a5">
    <w:name w:val="Balloon Text"/>
    <w:basedOn w:val="a"/>
    <w:link w:val="Char1"/>
    <w:uiPriority w:val="99"/>
    <w:semiHidden/>
    <w:rsid w:val="00C93D13"/>
    <w:rPr>
      <w:sz w:val="18"/>
      <w:szCs w:val="18"/>
    </w:rPr>
  </w:style>
  <w:style w:type="character" w:customStyle="1" w:styleId="Char1">
    <w:name w:val="批注框文本 Char"/>
    <w:basedOn w:val="a0"/>
    <w:link w:val="a5"/>
    <w:uiPriority w:val="99"/>
    <w:semiHidden/>
    <w:locked/>
    <w:rsid w:val="00C93D13"/>
    <w:rPr>
      <w:kern w:val="2"/>
      <w:sz w:val="18"/>
    </w:rPr>
  </w:style>
  <w:style w:type="paragraph" w:styleId="a6">
    <w:name w:val="Revision"/>
    <w:hidden/>
    <w:uiPriority w:val="99"/>
    <w:semiHidden/>
    <w:rsid w:val="00C93D13"/>
  </w:style>
  <w:style w:type="paragraph" w:styleId="a7">
    <w:name w:val="List Paragraph"/>
    <w:basedOn w:val="a"/>
    <w:uiPriority w:val="99"/>
    <w:qFormat/>
    <w:rsid w:val="00244A7D"/>
    <w:pPr>
      <w:ind w:firstLineChars="200" w:firstLine="420"/>
    </w:pPr>
  </w:style>
  <w:style w:type="paragraph" w:styleId="a8">
    <w:name w:val="annotation text"/>
    <w:basedOn w:val="a"/>
    <w:link w:val="Char2"/>
    <w:uiPriority w:val="99"/>
    <w:semiHidden/>
    <w:rsid w:val="00244A7D"/>
    <w:pPr>
      <w:jc w:val="left"/>
    </w:pPr>
  </w:style>
  <w:style w:type="character" w:customStyle="1" w:styleId="Char2">
    <w:name w:val="批注文字 Char"/>
    <w:basedOn w:val="a0"/>
    <w:link w:val="a8"/>
    <w:uiPriority w:val="99"/>
    <w:semiHidden/>
    <w:locked/>
    <w:rsid w:val="00244A7D"/>
    <w:rPr>
      <w:kern w:val="2"/>
      <w:sz w:val="22"/>
    </w:rPr>
  </w:style>
  <w:style w:type="paragraph" w:styleId="a9">
    <w:name w:val="annotation subject"/>
    <w:basedOn w:val="a8"/>
    <w:next w:val="a8"/>
    <w:link w:val="Char3"/>
    <w:uiPriority w:val="99"/>
    <w:semiHidden/>
    <w:rsid w:val="00244A7D"/>
    <w:rPr>
      <w:b/>
      <w:bCs/>
    </w:rPr>
  </w:style>
  <w:style w:type="character" w:customStyle="1" w:styleId="Char3">
    <w:name w:val="批注主题 Char"/>
    <w:basedOn w:val="Char2"/>
    <w:link w:val="a9"/>
    <w:uiPriority w:val="99"/>
    <w:semiHidden/>
    <w:locked/>
    <w:rsid w:val="00244A7D"/>
    <w:rPr>
      <w:b/>
      <w:kern w:val="2"/>
      <w:sz w:val="22"/>
    </w:rPr>
  </w:style>
  <w:style w:type="character" w:styleId="aa">
    <w:name w:val="annotation reference"/>
    <w:basedOn w:val="a0"/>
    <w:uiPriority w:val="99"/>
    <w:semiHidden/>
    <w:rsid w:val="00AD371D"/>
    <w:rPr>
      <w:rFonts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03387">
      <w:marLeft w:val="0"/>
      <w:marRight w:val="0"/>
      <w:marTop w:val="0"/>
      <w:marBottom w:val="0"/>
      <w:divBdr>
        <w:top w:val="none" w:sz="0" w:space="0" w:color="auto"/>
        <w:left w:val="none" w:sz="0" w:space="0" w:color="auto"/>
        <w:bottom w:val="none" w:sz="0" w:space="0" w:color="auto"/>
        <w:right w:val="none" w:sz="0" w:space="0" w:color="auto"/>
      </w:divBdr>
    </w:div>
    <w:div w:id="2126803388">
      <w:marLeft w:val="0"/>
      <w:marRight w:val="0"/>
      <w:marTop w:val="0"/>
      <w:marBottom w:val="0"/>
      <w:divBdr>
        <w:top w:val="none" w:sz="0" w:space="0" w:color="auto"/>
        <w:left w:val="none" w:sz="0" w:space="0" w:color="auto"/>
        <w:bottom w:val="none" w:sz="0" w:space="0" w:color="auto"/>
        <w:right w:val="none" w:sz="0" w:space="0" w:color="auto"/>
      </w:divBdr>
    </w:div>
    <w:div w:id="2126803389">
      <w:marLeft w:val="0"/>
      <w:marRight w:val="0"/>
      <w:marTop w:val="0"/>
      <w:marBottom w:val="0"/>
      <w:divBdr>
        <w:top w:val="none" w:sz="0" w:space="0" w:color="auto"/>
        <w:left w:val="none" w:sz="0" w:space="0" w:color="auto"/>
        <w:bottom w:val="none" w:sz="0" w:space="0" w:color="auto"/>
        <w:right w:val="none" w:sz="0" w:space="0" w:color="auto"/>
      </w:divBdr>
      <w:divsChild>
        <w:div w:id="2126803401">
          <w:marLeft w:val="0"/>
          <w:marRight w:val="0"/>
          <w:marTop w:val="0"/>
          <w:marBottom w:val="0"/>
          <w:divBdr>
            <w:top w:val="none" w:sz="0" w:space="0" w:color="auto"/>
            <w:left w:val="none" w:sz="0" w:space="0" w:color="auto"/>
            <w:bottom w:val="none" w:sz="0" w:space="0" w:color="auto"/>
            <w:right w:val="none" w:sz="0" w:space="0" w:color="auto"/>
          </w:divBdr>
        </w:div>
      </w:divsChild>
    </w:div>
    <w:div w:id="2126803390">
      <w:marLeft w:val="0"/>
      <w:marRight w:val="0"/>
      <w:marTop w:val="0"/>
      <w:marBottom w:val="0"/>
      <w:divBdr>
        <w:top w:val="none" w:sz="0" w:space="0" w:color="auto"/>
        <w:left w:val="none" w:sz="0" w:space="0" w:color="auto"/>
        <w:bottom w:val="none" w:sz="0" w:space="0" w:color="auto"/>
        <w:right w:val="none" w:sz="0" w:space="0" w:color="auto"/>
      </w:divBdr>
      <w:divsChild>
        <w:div w:id="2126803394">
          <w:marLeft w:val="0"/>
          <w:marRight w:val="0"/>
          <w:marTop w:val="0"/>
          <w:marBottom w:val="0"/>
          <w:divBdr>
            <w:top w:val="none" w:sz="0" w:space="0" w:color="auto"/>
            <w:left w:val="none" w:sz="0" w:space="0" w:color="auto"/>
            <w:bottom w:val="none" w:sz="0" w:space="0" w:color="auto"/>
            <w:right w:val="none" w:sz="0" w:space="0" w:color="auto"/>
          </w:divBdr>
        </w:div>
      </w:divsChild>
    </w:div>
    <w:div w:id="2126803392">
      <w:marLeft w:val="0"/>
      <w:marRight w:val="0"/>
      <w:marTop w:val="0"/>
      <w:marBottom w:val="0"/>
      <w:divBdr>
        <w:top w:val="none" w:sz="0" w:space="0" w:color="auto"/>
        <w:left w:val="none" w:sz="0" w:space="0" w:color="auto"/>
        <w:bottom w:val="none" w:sz="0" w:space="0" w:color="auto"/>
        <w:right w:val="none" w:sz="0" w:space="0" w:color="auto"/>
      </w:divBdr>
      <w:divsChild>
        <w:div w:id="2126803386">
          <w:marLeft w:val="0"/>
          <w:marRight w:val="0"/>
          <w:marTop w:val="0"/>
          <w:marBottom w:val="0"/>
          <w:divBdr>
            <w:top w:val="none" w:sz="0" w:space="0" w:color="auto"/>
            <w:left w:val="none" w:sz="0" w:space="0" w:color="auto"/>
            <w:bottom w:val="none" w:sz="0" w:space="0" w:color="auto"/>
            <w:right w:val="none" w:sz="0" w:space="0" w:color="auto"/>
          </w:divBdr>
        </w:div>
      </w:divsChild>
    </w:div>
    <w:div w:id="2126803393">
      <w:marLeft w:val="0"/>
      <w:marRight w:val="0"/>
      <w:marTop w:val="0"/>
      <w:marBottom w:val="0"/>
      <w:divBdr>
        <w:top w:val="none" w:sz="0" w:space="0" w:color="auto"/>
        <w:left w:val="none" w:sz="0" w:space="0" w:color="auto"/>
        <w:bottom w:val="none" w:sz="0" w:space="0" w:color="auto"/>
        <w:right w:val="none" w:sz="0" w:space="0" w:color="auto"/>
      </w:divBdr>
      <w:divsChild>
        <w:div w:id="2126803416">
          <w:marLeft w:val="0"/>
          <w:marRight w:val="0"/>
          <w:marTop w:val="0"/>
          <w:marBottom w:val="0"/>
          <w:divBdr>
            <w:top w:val="none" w:sz="0" w:space="0" w:color="auto"/>
            <w:left w:val="none" w:sz="0" w:space="0" w:color="auto"/>
            <w:bottom w:val="none" w:sz="0" w:space="0" w:color="auto"/>
            <w:right w:val="none" w:sz="0" w:space="0" w:color="auto"/>
          </w:divBdr>
        </w:div>
      </w:divsChild>
    </w:div>
    <w:div w:id="2126803398">
      <w:marLeft w:val="0"/>
      <w:marRight w:val="0"/>
      <w:marTop w:val="0"/>
      <w:marBottom w:val="0"/>
      <w:divBdr>
        <w:top w:val="none" w:sz="0" w:space="0" w:color="auto"/>
        <w:left w:val="none" w:sz="0" w:space="0" w:color="auto"/>
        <w:bottom w:val="none" w:sz="0" w:space="0" w:color="auto"/>
        <w:right w:val="none" w:sz="0" w:space="0" w:color="auto"/>
      </w:divBdr>
      <w:divsChild>
        <w:div w:id="2126803395">
          <w:marLeft w:val="0"/>
          <w:marRight w:val="0"/>
          <w:marTop w:val="0"/>
          <w:marBottom w:val="0"/>
          <w:divBdr>
            <w:top w:val="none" w:sz="0" w:space="0" w:color="auto"/>
            <w:left w:val="none" w:sz="0" w:space="0" w:color="auto"/>
            <w:bottom w:val="none" w:sz="0" w:space="0" w:color="auto"/>
            <w:right w:val="none" w:sz="0" w:space="0" w:color="auto"/>
          </w:divBdr>
        </w:div>
      </w:divsChild>
    </w:div>
    <w:div w:id="2126803399">
      <w:marLeft w:val="0"/>
      <w:marRight w:val="0"/>
      <w:marTop w:val="0"/>
      <w:marBottom w:val="0"/>
      <w:divBdr>
        <w:top w:val="none" w:sz="0" w:space="0" w:color="auto"/>
        <w:left w:val="none" w:sz="0" w:space="0" w:color="auto"/>
        <w:bottom w:val="none" w:sz="0" w:space="0" w:color="auto"/>
        <w:right w:val="none" w:sz="0" w:space="0" w:color="auto"/>
      </w:divBdr>
      <w:divsChild>
        <w:div w:id="2126803404">
          <w:marLeft w:val="0"/>
          <w:marRight w:val="0"/>
          <w:marTop w:val="0"/>
          <w:marBottom w:val="0"/>
          <w:divBdr>
            <w:top w:val="none" w:sz="0" w:space="0" w:color="auto"/>
            <w:left w:val="none" w:sz="0" w:space="0" w:color="auto"/>
            <w:bottom w:val="none" w:sz="0" w:space="0" w:color="auto"/>
            <w:right w:val="none" w:sz="0" w:space="0" w:color="auto"/>
          </w:divBdr>
        </w:div>
      </w:divsChild>
    </w:div>
    <w:div w:id="2126803402">
      <w:marLeft w:val="0"/>
      <w:marRight w:val="0"/>
      <w:marTop w:val="0"/>
      <w:marBottom w:val="0"/>
      <w:divBdr>
        <w:top w:val="none" w:sz="0" w:space="0" w:color="auto"/>
        <w:left w:val="none" w:sz="0" w:space="0" w:color="auto"/>
        <w:bottom w:val="none" w:sz="0" w:space="0" w:color="auto"/>
        <w:right w:val="none" w:sz="0" w:space="0" w:color="auto"/>
      </w:divBdr>
      <w:divsChild>
        <w:div w:id="2126803397">
          <w:marLeft w:val="0"/>
          <w:marRight w:val="0"/>
          <w:marTop w:val="0"/>
          <w:marBottom w:val="0"/>
          <w:divBdr>
            <w:top w:val="none" w:sz="0" w:space="0" w:color="auto"/>
            <w:left w:val="none" w:sz="0" w:space="0" w:color="auto"/>
            <w:bottom w:val="none" w:sz="0" w:space="0" w:color="auto"/>
            <w:right w:val="none" w:sz="0" w:space="0" w:color="auto"/>
          </w:divBdr>
        </w:div>
      </w:divsChild>
    </w:div>
    <w:div w:id="2126803403">
      <w:marLeft w:val="0"/>
      <w:marRight w:val="0"/>
      <w:marTop w:val="0"/>
      <w:marBottom w:val="0"/>
      <w:divBdr>
        <w:top w:val="none" w:sz="0" w:space="0" w:color="auto"/>
        <w:left w:val="none" w:sz="0" w:space="0" w:color="auto"/>
        <w:bottom w:val="none" w:sz="0" w:space="0" w:color="auto"/>
        <w:right w:val="none" w:sz="0" w:space="0" w:color="auto"/>
      </w:divBdr>
      <w:divsChild>
        <w:div w:id="2126803415">
          <w:marLeft w:val="0"/>
          <w:marRight w:val="0"/>
          <w:marTop w:val="0"/>
          <w:marBottom w:val="0"/>
          <w:divBdr>
            <w:top w:val="none" w:sz="0" w:space="0" w:color="auto"/>
            <w:left w:val="none" w:sz="0" w:space="0" w:color="auto"/>
            <w:bottom w:val="none" w:sz="0" w:space="0" w:color="auto"/>
            <w:right w:val="none" w:sz="0" w:space="0" w:color="auto"/>
          </w:divBdr>
        </w:div>
      </w:divsChild>
    </w:div>
    <w:div w:id="2126803405">
      <w:marLeft w:val="0"/>
      <w:marRight w:val="0"/>
      <w:marTop w:val="0"/>
      <w:marBottom w:val="0"/>
      <w:divBdr>
        <w:top w:val="none" w:sz="0" w:space="0" w:color="auto"/>
        <w:left w:val="none" w:sz="0" w:space="0" w:color="auto"/>
        <w:bottom w:val="none" w:sz="0" w:space="0" w:color="auto"/>
        <w:right w:val="none" w:sz="0" w:space="0" w:color="auto"/>
      </w:divBdr>
      <w:divsChild>
        <w:div w:id="2126803396">
          <w:marLeft w:val="0"/>
          <w:marRight w:val="0"/>
          <w:marTop w:val="0"/>
          <w:marBottom w:val="0"/>
          <w:divBdr>
            <w:top w:val="none" w:sz="0" w:space="0" w:color="auto"/>
            <w:left w:val="none" w:sz="0" w:space="0" w:color="auto"/>
            <w:bottom w:val="none" w:sz="0" w:space="0" w:color="auto"/>
            <w:right w:val="none" w:sz="0" w:space="0" w:color="auto"/>
          </w:divBdr>
        </w:div>
      </w:divsChild>
    </w:div>
    <w:div w:id="2126803406">
      <w:marLeft w:val="0"/>
      <w:marRight w:val="0"/>
      <w:marTop w:val="0"/>
      <w:marBottom w:val="0"/>
      <w:divBdr>
        <w:top w:val="none" w:sz="0" w:space="0" w:color="auto"/>
        <w:left w:val="none" w:sz="0" w:space="0" w:color="auto"/>
        <w:bottom w:val="none" w:sz="0" w:space="0" w:color="auto"/>
        <w:right w:val="none" w:sz="0" w:space="0" w:color="auto"/>
      </w:divBdr>
    </w:div>
    <w:div w:id="2126803407">
      <w:marLeft w:val="0"/>
      <w:marRight w:val="0"/>
      <w:marTop w:val="0"/>
      <w:marBottom w:val="0"/>
      <w:divBdr>
        <w:top w:val="none" w:sz="0" w:space="0" w:color="auto"/>
        <w:left w:val="none" w:sz="0" w:space="0" w:color="auto"/>
        <w:bottom w:val="none" w:sz="0" w:space="0" w:color="auto"/>
        <w:right w:val="none" w:sz="0" w:space="0" w:color="auto"/>
      </w:divBdr>
    </w:div>
    <w:div w:id="2126803408">
      <w:marLeft w:val="0"/>
      <w:marRight w:val="0"/>
      <w:marTop w:val="0"/>
      <w:marBottom w:val="0"/>
      <w:divBdr>
        <w:top w:val="none" w:sz="0" w:space="0" w:color="auto"/>
        <w:left w:val="none" w:sz="0" w:space="0" w:color="auto"/>
        <w:bottom w:val="none" w:sz="0" w:space="0" w:color="auto"/>
        <w:right w:val="none" w:sz="0" w:space="0" w:color="auto"/>
      </w:divBdr>
    </w:div>
    <w:div w:id="2126803409">
      <w:marLeft w:val="0"/>
      <w:marRight w:val="0"/>
      <w:marTop w:val="0"/>
      <w:marBottom w:val="0"/>
      <w:divBdr>
        <w:top w:val="none" w:sz="0" w:space="0" w:color="auto"/>
        <w:left w:val="none" w:sz="0" w:space="0" w:color="auto"/>
        <w:bottom w:val="none" w:sz="0" w:space="0" w:color="auto"/>
        <w:right w:val="none" w:sz="0" w:space="0" w:color="auto"/>
      </w:divBdr>
    </w:div>
    <w:div w:id="2126803410">
      <w:marLeft w:val="0"/>
      <w:marRight w:val="0"/>
      <w:marTop w:val="0"/>
      <w:marBottom w:val="0"/>
      <w:divBdr>
        <w:top w:val="none" w:sz="0" w:space="0" w:color="auto"/>
        <w:left w:val="none" w:sz="0" w:space="0" w:color="auto"/>
        <w:bottom w:val="none" w:sz="0" w:space="0" w:color="auto"/>
        <w:right w:val="none" w:sz="0" w:space="0" w:color="auto"/>
      </w:divBdr>
    </w:div>
    <w:div w:id="2126803411">
      <w:marLeft w:val="0"/>
      <w:marRight w:val="0"/>
      <w:marTop w:val="0"/>
      <w:marBottom w:val="0"/>
      <w:divBdr>
        <w:top w:val="none" w:sz="0" w:space="0" w:color="auto"/>
        <w:left w:val="none" w:sz="0" w:space="0" w:color="auto"/>
        <w:bottom w:val="none" w:sz="0" w:space="0" w:color="auto"/>
        <w:right w:val="none" w:sz="0" w:space="0" w:color="auto"/>
      </w:divBdr>
    </w:div>
    <w:div w:id="2126803412">
      <w:marLeft w:val="0"/>
      <w:marRight w:val="0"/>
      <w:marTop w:val="0"/>
      <w:marBottom w:val="0"/>
      <w:divBdr>
        <w:top w:val="none" w:sz="0" w:space="0" w:color="auto"/>
        <w:left w:val="none" w:sz="0" w:space="0" w:color="auto"/>
        <w:bottom w:val="none" w:sz="0" w:space="0" w:color="auto"/>
        <w:right w:val="none" w:sz="0" w:space="0" w:color="auto"/>
      </w:divBdr>
    </w:div>
    <w:div w:id="2126803413">
      <w:marLeft w:val="0"/>
      <w:marRight w:val="0"/>
      <w:marTop w:val="0"/>
      <w:marBottom w:val="0"/>
      <w:divBdr>
        <w:top w:val="none" w:sz="0" w:space="0" w:color="auto"/>
        <w:left w:val="none" w:sz="0" w:space="0" w:color="auto"/>
        <w:bottom w:val="none" w:sz="0" w:space="0" w:color="auto"/>
        <w:right w:val="none" w:sz="0" w:space="0" w:color="auto"/>
      </w:divBdr>
      <w:divsChild>
        <w:div w:id="2126803385">
          <w:marLeft w:val="0"/>
          <w:marRight w:val="0"/>
          <w:marTop w:val="0"/>
          <w:marBottom w:val="0"/>
          <w:divBdr>
            <w:top w:val="none" w:sz="0" w:space="0" w:color="auto"/>
            <w:left w:val="none" w:sz="0" w:space="0" w:color="auto"/>
            <w:bottom w:val="none" w:sz="0" w:space="0" w:color="auto"/>
            <w:right w:val="none" w:sz="0" w:space="0" w:color="auto"/>
          </w:divBdr>
        </w:div>
      </w:divsChild>
    </w:div>
    <w:div w:id="2126803417">
      <w:marLeft w:val="0"/>
      <w:marRight w:val="0"/>
      <w:marTop w:val="0"/>
      <w:marBottom w:val="0"/>
      <w:divBdr>
        <w:top w:val="none" w:sz="0" w:space="0" w:color="auto"/>
        <w:left w:val="none" w:sz="0" w:space="0" w:color="auto"/>
        <w:bottom w:val="none" w:sz="0" w:space="0" w:color="auto"/>
        <w:right w:val="none" w:sz="0" w:space="0" w:color="auto"/>
      </w:divBdr>
      <w:divsChild>
        <w:div w:id="2126803420">
          <w:marLeft w:val="0"/>
          <w:marRight w:val="0"/>
          <w:marTop w:val="0"/>
          <w:marBottom w:val="0"/>
          <w:divBdr>
            <w:top w:val="none" w:sz="0" w:space="0" w:color="auto"/>
            <w:left w:val="none" w:sz="0" w:space="0" w:color="auto"/>
            <w:bottom w:val="none" w:sz="0" w:space="0" w:color="auto"/>
            <w:right w:val="none" w:sz="0" w:space="0" w:color="auto"/>
          </w:divBdr>
        </w:div>
      </w:divsChild>
    </w:div>
    <w:div w:id="2126803418">
      <w:marLeft w:val="0"/>
      <w:marRight w:val="0"/>
      <w:marTop w:val="0"/>
      <w:marBottom w:val="0"/>
      <w:divBdr>
        <w:top w:val="none" w:sz="0" w:space="0" w:color="auto"/>
        <w:left w:val="none" w:sz="0" w:space="0" w:color="auto"/>
        <w:bottom w:val="none" w:sz="0" w:space="0" w:color="auto"/>
        <w:right w:val="none" w:sz="0" w:space="0" w:color="auto"/>
      </w:divBdr>
      <w:divsChild>
        <w:div w:id="2126803427">
          <w:marLeft w:val="0"/>
          <w:marRight w:val="0"/>
          <w:marTop w:val="0"/>
          <w:marBottom w:val="0"/>
          <w:divBdr>
            <w:top w:val="none" w:sz="0" w:space="0" w:color="auto"/>
            <w:left w:val="none" w:sz="0" w:space="0" w:color="auto"/>
            <w:bottom w:val="none" w:sz="0" w:space="0" w:color="auto"/>
            <w:right w:val="none" w:sz="0" w:space="0" w:color="auto"/>
          </w:divBdr>
        </w:div>
      </w:divsChild>
    </w:div>
    <w:div w:id="2126803419">
      <w:marLeft w:val="0"/>
      <w:marRight w:val="0"/>
      <w:marTop w:val="0"/>
      <w:marBottom w:val="0"/>
      <w:divBdr>
        <w:top w:val="none" w:sz="0" w:space="0" w:color="auto"/>
        <w:left w:val="none" w:sz="0" w:space="0" w:color="auto"/>
        <w:bottom w:val="none" w:sz="0" w:space="0" w:color="auto"/>
        <w:right w:val="none" w:sz="0" w:space="0" w:color="auto"/>
      </w:divBdr>
      <w:divsChild>
        <w:div w:id="2126803391">
          <w:marLeft w:val="0"/>
          <w:marRight w:val="0"/>
          <w:marTop w:val="0"/>
          <w:marBottom w:val="0"/>
          <w:divBdr>
            <w:top w:val="none" w:sz="0" w:space="0" w:color="auto"/>
            <w:left w:val="none" w:sz="0" w:space="0" w:color="auto"/>
            <w:bottom w:val="none" w:sz="0" w:space="0" w:color="auto"/>
            <w:right w:val="none" w:sz="0" w:space="0" w:color="auto"/>
          </w:divBdr>
        </w:div>
      </w:divsChild>
    </w:div>
    <w:div w:id="2126803421">
      <w:marLeft w:val="0"/>
      <w:marRight w:val="0"/>
      <w:marTop w:val="0"/>
      <w:marBottom w:val="0"/>
      <w:divBdr>
        <w:top w:val="none" w:sz="0" w:space="0" w:color="auto"/>
        <w:left w:val="none" w:sz="0" w:space="0" w:color="auto"/>
        <w:bottom w:val="none" w:sz="0" w:space="0" w:color="auto"/>
        <w:right w:val="none" w:sz="0" w:space="0" w:color="auto"/>
      </w:divBdr>
      <w:divsChild>
        <w:div w:id="2126803425">
          <w:marLeft w:val="0"/>
          <w:marRight w:val="0"/>
          <w:marTop w:val="0"/>
          <w:marBottom w:val="0"/>
          <w:divBdr>
            <w:top w:val="none" w:sz="0" w:space="0" w:color="auto"/>
            <w:left w:val="none" w:sz="0" w:space="0" w:color="auto"/>
            <w:bottom w:val="none" w:sz="0" w:space="0" w:color="auto"/>
            <w:right w:val="none" w:sz="0" w:space="0" w:color="auto"/>
          </w:divBdr>
        </w:div>
      </w:divsChild>
    </w:div>
    <w:div w:id="2126803422">
      <w:marLeft w:val="0"/>
      <w:marRight w:val="0"/>
      <w:marTop w:val="0"/>
      <w:marBottom w:val="0"/>
      <w:divBdr>
        <w:top w:val="none" w:sz="0" w:space="0" w:color="auto"/>
        <w:left w:val="none" w:sz="0" w:space="0" w:color="auto"/>
        <w:bottom w:val="none" w:sz="0" w:space="0" w:color="auto"/>
        <w:right w:val="none" w:sz="0" w:space="0" w:color="auto"/>
      </w:divBdr>
      <w:divsChild>
        <w:div w:id="2126803414">
          <w:marLeft w:val="0"/>
          <w:marRight w:val="0"/>
          <w:marTop w:val="0"/>
          <w:marBottom w:val="0"/>
          <w:divBdr>
            <w:top w:val="none" w:sz="0" w:space="0" w:color="auto"/>
            <w:left w:val="none" w:sz="0" w:space="0" w:color="auto"/>
            <w:bottom w:val="none" w:sz="0" w:space="0" w:color="auto"/>
            <w:right w:val="none" w:sz="0" w:space="0" w:color="auto"/>
          </w:divBdr>
        </w:div>
      </w:divsChild>
    </w:div>
    <w:div w:id="2126803424">
      <w:marLeft w:val="0"/>
      <w:marRight w:val="0"/>
      <w:marTop w:val="0"/>
      <w:marBottom w:val="0"/>
      <w:divBdr>
        <w:top w:val="none" w:sz="0" w:space="0" w:color="auto"/>
        <w:left w:val="none" w:sz="0" w:space="0" w:color="auto"/>
        <w:bottom w:val="none" w:sz="0" w:space="0" w:color="auto"/>
        <w:right w:val="none" w:sz="0" w:space="0" w:color="auto"/>
      </w:divBdr>
      <w:divsChild>
        <w:div w:id="2126803400">
          <w:marLeft w:val="0"/>
          <w:marRight w:val="0"/>
          <w:marTop w:val="0"/>
          <w:marBottom w:val="0"/>
          <w:divBdr>
            <w:top w:val="none" w:sz="0" w:space="0" w:color="auto"/>
            <w:left w:val="none" w:sz="0" w:space="0" w:color="auto"/>
            <w:bottom w:val="none" w:sz="0" w:space="0" w:color="auto"/>
            <w:right w:val="none" w:sz="0" w:space="0" w:color="auto"/>
          </w:divBdr>
        </w:div>
      </w:divsChild>
    </w:div>
    <w:div w:id="2126803426">
      <w:marLeft w:val="0"/>
      <w:marRight w:val="0"/>
      <w:marTop w:val="0"/>
      <w:marBottom w:val="0"/>
      <w:divBdr>
        <w:top w:val="none" w:sz="0" w:space="0" w:color="auto"/>
        <w:left w:val="none" w:sz="0" w:space="0" w:color="auto"/>
        <w:bottom w:val="none" w:sz="0" w:space="0" w:color="auto"/>
        <w:right w:val="none" w:sz="0" w:space="0" w:color="auto"/>
      </w:divBdr>
      <w:divsChild>
        <w:div w:id="212680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25</Pages>
  <Words>2238</Words>
  <Characters>12760</Characters>
  <Application>Microsoft Office Word</Application>
  <DocSecurity>0</DocSecurity>
  <Lines>106</Lines>
  <Paragraphs>29</Paragraphs>
  <ScaleCrop>false</ScaleCrop>
  <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dgy</cp:lastModifiedBy>
  <cp:revision>34</cp:revision>
  <cp:lastPrinted>2016-03-18T08:13:00Z</cp:lastPrinted>
  <dcterms:created xsi:type="dcterms:W3CDTF">2016-04-25T13:25:00Z</dcterms:created>
  <dcterms:modified xsi:type="dcterms:W3CDTF">2016-05-06T00:47:00Z</dcterms:modified>
</cp:coreProperties>
</file>